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9326" w14:textId="77777777" w:rsidR="000E60D8" w:rsidRPr="00207869" w:rsidRDefault="006039B0" w:rsidP="000E60D8">
      <w:pPr>
        <w:rPr>
          <w:rFonts w:ascii="Calibri" w:hAnsi="Calibri" w:cs="Calibri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noProof/>
          <w:sz w:val="20"/>
          <w:szCs w:val="20"/>
          <w:lang w:val="hr-HR"/>
        </w:rPr>
        <w:drawing>
          <wp:inline distT="0" distB="0" distL="0" distR="0" wp14:anchorId="507B92DF" wp14:editId="2FBE675B">
            <wp:extent cx="1428750" cy="476250"/>
            <wp:effectExtent l="1905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BF7E5" w14:textId="77777777" w:rsidR="0046656F" w:rsidRPr="00207869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14:paraId="5161AC8F" w14:textId="77777777" w:rsidR="0046656F" w:rsidRPr="00207869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Kolegij: </w:t>
      </w:r>
      <w:r w:rsidR="005C587F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OPĆA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TOKSIKOLOGIJA</w:t>
      </w:r>
    </w:p>
    <w:p w14:paraId="2B25D5C6" w14:textId="5D002E06" w:rsidR="00CD2B79" w:rsidRPr="00207869" w:rsidRDefault="00CD2B79" w:rsidP="00CD2B79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Voditelj:</w:t>
      </w:r>
      <w:r w:rsidR="0058228E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</w:t>
      </w:r>
      <w:r w:rsidR="0091333B" w:rsidRPr="0091333B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Izv. prof. dr. sc. Elitza </w:t>
      </w:r>
      <w:r w:rsidR="00936FC8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Petkova </w:t>
      </w:r>
      <w:r w:rsidR="0091333B" w:rsidRPr="0091333B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Markova-Car</w:t>
      </w:r>
    </w:p>
    <w:p w14:paraId="6586CF04" w14:textId="77777777" w:rsidR="00416316" w:rsidRPr="00207869" w:rsidRDefault="00416316" w:rsidP="00416316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0"/>
          <w:szCs w:val="20"/>
          <w:lang w:val="hr-HR" w:bidi="ta-IN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Katedra: 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Zavod za temeljnu i kliničku farmakologiju s toksikologijom</w:t>
      </w:r>
    </w:p>
    <w:p w14:paraId="7FC0AE3B" w14:textId="68E2DAC9" w:rsidR="0046656F" w:rsidRPr="00207869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Studij: </w:t>
      </w:r>
      <w:r w:rsidR="0044311A" w:rsidRPr="0044311A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Sveučilišni prijediplomski studij 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sanitarnog inženjerstva</w:t>
      </w:r>
    </w:p>
    <w:p w14:paraId="1DE90F36" w14:textId="2B7840C8" w:rsidR="00675246" w:rsidRPr="00207869" w:rsidRDefault="00675246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Godina studija:</w:t>
      </w:r>
      <w:r w:rsidR="0058228E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</w:t>
      </w:r>
      <w:r w:rsidR="005C587F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3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.</w:t>
      </w:r>
    </w:p>
    <w:p w14:paraId="10F9552D" w14:textId="43B4BC3C" w:rsidR="0046656F" w:rsidRPr="00207869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bCs/>
          <w:color w:val="000000" w:themeColor="text1"/>
          <w:sz w:val="20"/>
          <w:szCs w:val="20"/>
          <w:lang w:val="hr-HR"/>
        </w:rPr>
        <w:t xml:space="preserve">Akademska godina: 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202</w:t>
      </w:r>
      <w:r w:rsidR="00BB1615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3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./202</w:t>
      </w:r>
      <w:r w:rsidR="00BB1615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4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.</w:t>
      </w:r>
    </w:p>
    <w:p w14:paraId="4845488F" w14:textId="77777777" w:rsidR="00DF429E" w:rsidRPr="00207869" w:rsidRDefault="00DF429E" w:rsidP="00DF429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hr-HR"/>
        </w:rPr>
      </w:pPr>
    </w:p>
    <w:p w14:paraId="24FD6C0B" w14:textId="77777777" w:rsidR="00F979D6" w:rsidRPr="00207869" w:rsidRDefault="00F979D6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2926B086" w14:textId="77777777" w:rsidR="00C80C14" w:rsidRPr="00207869" w:rsidRDefault="00C80C14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4C4EC5F1" w14:textId="77777777" w:rsidR="00AD74FF" w:rsidRPr="00207869" w:rsidRDefault="00AD74FF" w:rsidP="00AD74FF">
      <w:pPr>
        <w:jc w:val="center"/>
        <w:rPr>
          <w:rFonts w:ascii="Calibri" w:hAnsi="Calibri" w:cs="Calibri"/>
          <w:b/>
          <w:color w:val="FF0000"/>
          <w:lang w:val="hr-HR"/>
        </w:rPr>
      </w:pPr>
      <w:r w:rsidRPr="00207869">
        <w:rPr>
          <w:rFonts w:ascii="Calibri" w:hAnsi="Calibri" w:cs="Calibri"/>
          <w:b/>
          <w:color w:val="FF0000"/>
          <w:lang w:val="hr-HR"/>
        </w:rPr>
        <w:t>IZVEDBENI NASTAVNI PLAN</w:t>
      </w:r>
    </w:p>
    <w:p w14:paraId="050C9069" w14:textId="77777777" w:rsidR="001236B6" w:rsidRPr="00207869" w:rsidRDefault="001236B6" w:rsidP="001236B6">
      <w:pPr>
        <w:jc w:val="center"/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p w14:paraId="4E0CC829" w14:textId="77777777" w:rsidR="00DF429E" w:rsidRPr="00207869" w:rsidRDefault="00AD74FF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  <w:r w:rsidRPr="00207869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 xml:space="preserve">Podaci o </w:t>
      </w:r>
      <w:r w:rsidR="00DF429E" w:rsidRPr="00207869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5B67B9B0" w14:textId="77777777" w:rsidR="008A0EF3" w:rsidRPr="00207869" w:rsidRDefault="008A0EF3" w:rsidP="00426BBF">
      <w:pPr>
        <w:rPr>
          <w:rFonts w:ascii="Calibri" w:hAnsi="Calibri" w:cs="Calibri"/>
          <w:color w:val="0070C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207869" w14:paraId="574F2E1B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54B8B40" w14:textId="77777777" w:rsidR="00C16A34" w:rsidRPr="00207869" w:rsidRDefault="00C16A34" w:rsidP="00C16A34">
            <w:pPr>
              <w:rPr>
                <w:rFonts w:ascii="Calibri" w:hAnsi="Calibri" w:cs="Calibri"/>
                <w:color w:val="FF00FF"/>
                <w:sz w:val="20"/>
                <w:szCs w:val="20"/>
                <w:lang w:val="hr-HR"/>
              </w:rPr>
            </w:pPr>
          </w:p>
          <w:p w14:paraId="2E29E8D3" w14:textId="4CF79317" w:rsidR="00612277" w:rsidRPr="00207869" w:rsidRDefault="0061227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Kolegij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C587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Opća 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toksikologija je obvezni predmet na </w:t>
            </w:r>
            <w:r w:rsidR="005C587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godini </w:t>
            </w:r>
            <w:r w:rsidR="005C587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Predd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iplomskog sveučilišnog studija </w:t>
            </w:r>
            <w:r w:rsidR="00CB0EE3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sanitarnog inženjerstva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koji s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 održava u 2. semestru, a sastoji se od 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="00444A13" w:rsidRPr="00207869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predavanja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24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seminara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r w:rsidR="00444A13" w:rsidRPr="00207869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vježbi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ukupno 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45</w:t>
            </w:r>
            <w:r w:rsidR="002A0B5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sati (</w:t>
            </w:r>
            <w:r w:rsidR="002622EB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ECTS</w:t>
            </w:r>
            <w:r w:rsidR="00F52A10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).</w:t>
            </w:r>
          </w:p>
          <w:p w14:paraId="18D5A093" w14:textId="77777777" w:rsidR="00271DA7" w:rsidRPr="00207869" w:rsidRDefault="00271DA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567DEA89" w14:textId="5D01C369" w:rsidR="00612277" w:rsidRPr="00207869" w:rsidRDefault="00C16A34" w:rsidP="00271DA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Cilj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kolegija</w:t>
            </w:r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je osposobljavanje studenata za aktivno i stručno uključivanje u procese praćenja, kontrole i zaštite od djelovanja toksičnih tvari na organizam čovjeka, ali i drugih živih bića. Studenti se upoznaju s općim pojmovima u toksikologiji, metodama dokazivanja i određivanja pojedinih otrova, biokemijskim mehanizmima djelovanja pojedinih toksičnih tvari te prevencijom odnosno liječenjem trovanja.</w:t>
            </w:r>
          </w:p>
          <w:p w14:paraId="379B8062" w14:textId="77777777" w:rsidR="00271DA7" w:rsidRPr="00207869" w:rsidRDefault="00271DA7" w:rsidP="00271DA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6398F7AE" w14:textId="77777777" w:rsidR="00C16A34" w:rsidRPr="00207869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Sadržaj predmeta je sljedeći:</w:t>
            </w:r>
          </w:p>
          <w:p w14:paraId="7E62C45F" w14:textId="03322233" w:rsidR="00C16A34" w:rsidRPr="00207869" w:rsidRDefault="002622EB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Toksikologija: </w:t>
            </w:r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povijesni pregled,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podjela, definicija pojmova; Opći principi toksičnosti: opće značajke otrova i trovanja; Apsorpcija, distribucija i eliminacija otrova;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B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iotransformacija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otrova; Odnos doza-odgovor; Toksični učinci-biokemijski i molekularni mehanizmi toksičnosti; Testovi toksičnosti i procjena rizika; Toksikološke analize: akutna,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subakutna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subkronična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kronična toksičnost;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K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arcinogeneza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M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utageneza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eratogeneza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R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eproduktivna toksičnost;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kotoksičnost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R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eakcije lokalne preosjetljivosti; Primjeri za testiranje toksičnosti;  Eksperimentalni modeli </w:t>
            </w:r>
            <w:proofErr w:type="spellStart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 xml:space="preserve"> vivo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in</w:t>
            </w:r>
            <w:proofErr w:type="spellEnd"/>
            <w:r w:rsidR="0058228E"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vitro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;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Opći principi trovanja i liječenja otrovanih; Hrvatsko zakonodavstvo o otrovima;  Rad u toksikološkom laboratoriju: postupci ekstrakcije, izolacije i separacije otrova iz različitih vrsta uzoraka; Postupci dokazivanja otrova: reakcije boja i taloga,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kromatografski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postupci, spektralne i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fluorimetrijske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analize, metode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kemiluminiscencije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Forenzička toksikologija: sudsko-medicinski aspekt trovanja;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Informatika u toksikologiji i toksikološke baze podataka.</w:t>
            </w:r>
          </w:p>
          <w:p w14:paraId="2E145B83" w14:textId="77777777" w:rsidR="002622EB" w:rsidRPr="00207869" w:rsidRDefault="002622EB" w:rsidP="00C16A34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  <w:p w14:paraId="5E0772C0" w14:textId="77777777" w:rsidR="00271DA7" w:rsidRPr="00207869" w:rsidRDefault="00271DA7" w:rsidP="00C16A34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  <w:p w14:paraId="5ECA1880" w14:textId="77777777" w:rsidR="00DB6811" w:rsidRPr="00207869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 ZA PREDMET:</w:t>
            </w:r>
          </w:p>
          <w:p w14:paraId="0A1ABDCC" w14:textId="77777777" w:rsidR="00DB6811" w:rsidRPr="00207869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I. KOGNITIVNA DOMENA – ZNANJE </w:t>
            </w:r>
          </w:p>
          <w:p w14:paraId="3EEFDFAD" w14:textId="3D215D6E" w:rsidR="00AB6EE3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1. Navesti i objasniti opće definicije i podjele </w:t>
            </w:r>
            <w:r w:rsidR="00BB7F64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toksikologije</w:t>
            </w:r>
          </w:p>
          <w:p w14:paraId="1364BBE7" w14:textId="77777777" w:rsidR="00FC741D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2. </w:t>
            </w:r>
            <w:r w:rsidR="001C4FF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Opisati i objasniti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opće principe toksičnosti tvari na molekularnoj i staničnoj razini te na razini organskih sustava</w:t>
            </w:r>
          </w:p>
          <w:p w14:paraId="1A894E68" w14:textId="77777777" w:rsidR="00FC741D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3. Navesti i opisati opća načela i principe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toksikokokinetike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toksikodinamike</w:t>
            </w:r>
            <w:proofErr w:type="spellEnd"/>
          </w:p>
          <w:p w14:paraId="2091BC2E" w14:textId="77777777" w:rsidR="00FC741D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4. Opisati klinički najznačajnija trovanja i liječenje otrovanih bolesnika te specifičnosti u liječenju trovanja u trudnica, djece i starijih</w:t>
            </w:r>
            <w:r w:rsidR="00A26BD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osoba</w:t>
            </w:r>
          </w:p>
          <w:p w14:paraId="11ED06BB" w14:textId="77777777" w:rsidR="00A26BDF" w:rsidRPr="00207869" w:rsidRDefault="00A26BDF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5. Opisati i objasniti različite tipove toksičnih učinaka i  toksikoloških analiza - opća toksičnost (akutna,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subakutna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subkronična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kronična toksičnost),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mutageneza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karcinogeneza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genotoksičnost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teratogeneza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reproduktivna toksičnost, okolišna toksičnost</w:t>
            </w:r>
          </w:p>
          <w:p w14:paraId="4D27FB7D" w14:textId="77777777" w:rsidR="00BE19DD" w:rsidRPr="00207869" w:rsidRDefault="00A26BDF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6. Navesti i objasniti različite testove toksičnosti (eksperimentalni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vivo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ex vivo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vitro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silico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modeli) te procese procjene rizika</w:t>
            </w:r>
          </w:p>
          <w:p w14:paraId="11E7D629" w14:textId="77777777" w:rsidR="00A26BDF" w:rsidRPr="00207869" w:rsidRDefault="00BE19DD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7. Opisati i objasniti metode rada u toksikološkom laboratoriju: postupci uzorkovanja, ekstrakcije, izolacije i separacije otrova iz različitih vrsta uzoraka  te dokazivanja otrova</w:t>
            </w:r>
          </w:p>
          <w:p w14:paraId="060F9E04" w14:textId="77777777" w:rsidR="00BE19DD" w:rsidRPr="00207869" w:rsidRDefault="00BE19DD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8. Opisati i objasniti postupke sprječavanja, djelovanja i sanacije kemijskih nesreća </w:t>
            </w:r>
          </w:p>
          <w:p w14:paraId="202DBEFF" w14:textId="77777777" w:rsidR="00BE19DD" w:rsidRPr="00207869" w:rsidRDefault="00BE19DD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9. Opisati i objasniti primjere iz forenzičke toksikologije: sudsko-medicinski aspekt trovanja</w:t>
            </w:r>
          </w:p>
          <w:p w14:paraId="1604F150" w14:textId="77777777" w:rsidR="00DB6811" w:rsidRPr="00207869" w:rsidRDefault="00DB6811" w:rsidP="00DB6811">
            <w:pPr>
              <w:rPr>
                <w:rFonts w:ascii="Calibri" w:hAnsi="Calibri" w:cs="Calibri"/>
                <w:sz w:val="20"/>
                <w:szCs w:val="20"/>
                <w:highlight w:val="yellow"/>
                <w:lang w:val="hr-HR"/>
              </w:rPr>
            </w:pPr>
          </w:p>
          <w:p w14:paraId="56AA5823" w14:textId="77777777" w:rsidR="00DB6811" w:rsidRPr="00207869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II.PSIHOMOTORIČKA DOMENA – VJEŠTINE</w:t>
            </w:r>
          </w:p>
          <w:p w14:paraId="60041AE4" w14:textId="77777777" w:rsidR="00686AA3" w:rsidRPr="00207869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Ovladati vještinom </w:t>
            </w:r>
            <w:r w:rsidR="00271D8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samostalnog korištenja literature i prezentiranja naučenog na seminarima</w:t>
            </w:r>
          </w:p>
          <w:p w14:paraId="1888976A" w14:textId="27B277DA" w:rsidR="00DB6811" w:rsidRPr="00207869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E717F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Ovladati vještinom samostalnog korištenja toksikoloških baza podataka</w:t>
            </w:r>
          </w:p>
          <w:p w14:paraId="4B257747" w14:textId="77777777" w:rsidR="00686AA3" w:rsidRPr="00207869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775DBA5A" w14:textId="77777777" w:rsidR="00DB6811" w:rsidRPr="00207869" w:rsidRDefault="00DB6811" w:rsidP="00DB6811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Izvođenje nastave:</w:t>
            </w:r>
          </w:p>
          <w:p w14:paraId="61C30D8C" w14:textId="77777777" w:rsidR="00D87011" w:rsidRPr="00207869" w:rsidRDefault="00D87011" w:rsidP="00DB68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Nastava se izvodi u obliku predavanja, seminara  i vježbi. Tijekom nastave studenti pišu dva testa te na kraju nastave polažu pismeni test i usmeni završni ispit. Izvršavanjem svih nastavnih aktivnosti te pristupanjem završnom ispitu student stječe 3 ECTS boda. </w:t>
            </w:r>
          </w:p>
          <w:p w14:paraId="12EBA1A2" w14:textId="77777777" w:rsidR="00D87011" w:rsidRPr="00207869" w:rsidRDefault="00D87011" w:rsidP="00DB68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  <w:p w14:paraId="74A47B4C" w14:textId="77777777" w:rsidR="00D87011" w:rsidRPr="00207869" w:rsidRDefault="00E717FF" w:rsidP="00D870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Studentima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je obveza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pripremiti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gradivo o kojem se raspravlja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na seminarima i vježbama.</w:t>
            </w:r>
          </w:p>
          <w:p w14:paraId="651AFC55" w14:textId="2B168129" w:rsidR="00DD7E7B" w:rsidRPr="00207869" w:rsidRDefault="00D87011" w:rsidP="00E717F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Nastavnik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ocjenjuje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sudjelovanje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studenta u radu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seminara (pokazano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znanje, razumijevanje, sposobnost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postavljanja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problema</w:t>
            </w:r>
            <w:r w:rsidR="0058228E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i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zaključivanje)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  <w:r w:rsidR="00E717FF" w:rsidRPr="00207869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13A8AADC" w14:textId="77777777" w:rsidR="00DF429E" w:rsidRPr="00207869" w:rsidRDefault="00DF429E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p w14:paraId="48AF86B9" w14:textId="77777777" w:rsidR="005A6E1F" w:rsidRPr="00207869" w:rsidRDefault="005A6E1F" w:rsidP="00E57A0B">
      <w:pPr>
        <w:pStyle w:val="Default"/>
        <w:rPr>
          <w:rFonts w:ascii="Calibri" w:hAnsi="Calibri" w:cs="Calibri"/>
          <w:sz w:val="20"/>
          <w:szCs w:val="20"/>
          <w:lang w:val="hr-HR"/>
        </w:rPr>
      </w:pPr>
    </w:p>
    <w:p w14:paraId="10D04805" w14:textId="77777777" w:rsidR="00E57A0B" w:rsidRPr="00207869" w:rsidRDefault="00E57A0B" w:rsidP="00E57A0B">
      <w:pPr>
        <w:pStyle w:val="Default"/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207869" w14:paraId="54737AC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1678F02" w14:textId="77777777" w:rsidR="00F52A10" w:rsidRPr="00207869" w:rsidRDefault="00F52A10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Duraković Z. i sur.: Klinička toksikologija,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Grafos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, Zagreb, 2000.</w:t>
            </w:r>
          </w:p>
          <w:p w14:paraId="1CE5F321" w14:textId="6D4824E0" w:rsidR="005A6E1F" w:rsidRPr="00207869" w:rsidRDefault="00F52A10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Casarett</w:t>
            </w:r>
            <w:proofErr w:type="spellEnd"/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&amp;</w:t>
            </w:r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Doull’s</w:t>
            </w:r>
            <w:proofErr w:type="spellEnd"/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Basic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Science of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Poisons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9. izdanje, 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McGraw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-Hill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Education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2019</w:t>
            </w:r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</w:p>
          <w:p w14:paraId="3CAD03B1" w14:textId="48C096A7" w:rsidR="008155AF" w:rsidRPr="00106588" w:rsidRDefault="00D87011" w:rsidP="00106588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Timbrell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J.A.: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Introduction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to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Taylor&amp;Frances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, 2002.</w:t>
            </w:r>
          </w:p>
        </w:tc>
      </w:tr>
    </w:tbl>
    <w:p w14:paraId="6D3B4B69" w14:textId="77777777" w:rsidR="0012248D" w:rsidRPr="00207869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16C8F0C9" w14:textId="77777777" w:rsidR="00E57A0B" w:rsidRPr="00207869" w:rsidRDefault="00E57A0B" w:rsidP="00E57A0B">
      <w:pPr>
        <w:pStyle w:val="Default"/>
        <w:rPr>
          <w:rFonts w:ascii="Calibri" w:hAnsi="Calibri" w:cs="Calibri"/>
          <w:b/>
          <w:color w:val="auto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207869" w14:paraId="2A6ED75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5CA0964" w14:textId="03BBA9ED" w:rsidR="00F52A10" w:rsidRPr="00207869" w:rsidRDefault="00F52A10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Lu F.: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Basic</w:t>
            </w:r>
            <w:proofErr w:type="spellEnd"/>
            <w:r w:rsidR="002E0C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Fundamentals, Target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Organs</w:t>
            </w:r>
            <w:proofErr w:type="spellEnd"/>
            <w:r w:rsidR="0058228E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and</w:t>
            </w:r>
            <w:r w:rsidR="0058228E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Risk</w:t>
            </w:r>
            <w:proofErr w:type="spellEnd"/>
            <w:r w:rsidR="0058228E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Assesments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7. izdanje, CRC Press, Taylor and Francis, 2017.</w:t>
            </w:r>
          </w:p>
          <w:p w14:paraId="22D707EA" w14:textId="42D647A5" w:rsidR="00F52A10" w:rsidRPr="00207869" w:rsidRDefault="00F52A10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Hodgson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ed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.)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Textbook</w:t>
            </w:r>
            <w:proofErr w:type="spellEnd"/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of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Modern</w:t>
            </w:r>
            <w:proofErr w:type="spellEnd"/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4. izdanje, 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Wiley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2010.</w:t>
            </w:r>
          </w:p>
          <w:p w14:paraId="2E575388" w14:textId="62BA2126" w:rsidR="00E57A0B" w:rsidRPr="00207869" w:rsidRDefault="00D87011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Derelanko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J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Auletta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C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S.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Handbook</w:t>
            </w:r>
            <w:proofErr w:type="spellEnd"/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of</w:t>
            </w:r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 CRC Press, 2014.</w:t>
            </w:r>
          </w:p>
          <w:p w14:paraId="672C52BC" w14:textId="5ECE24B4" w:rsidR="00D87011" w:rsidRPr="00207869" w:rsidRDefault="00D87011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Matteis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F.: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Molecular</w:t>
            </w:r>
            <w:proofErr w:type="spellEnd"/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and</w:t>
            </w:r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Cellular</w:t>
            </w:r>
            <w:proofErr w:type="spellEnd"/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Mechanisms</w:t>
            </w:r>
            <w:proofErr w:type="spellEnd"/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of</w:t>
            </w:r>
            <w:r w:rsidR="004E31D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Toxicity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Crc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Press Inc, 1995.</w:t>
            </w:r>
          </w:p>
        </w:tc>
      </w:tr>
    </w:tbl>
    <w:p w14:paraId="794793F8" w14:textId="77777777" w:rsidR="0083497A" w:rsidRPr="00207869" w:rsidRDefault="0083497A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4A0484DC" w14:textId="77777777" w:rsidR="007B4983" w:rsidRPr="00207869" w:rsidRDefault="007B4983" w:rsidP="007B4983">
      <w:pPr>
        <w:pStyle w:val="Default"/>
        <w:spacing w:after="120"/>
        <w:rPr>
          <w:rFonts w:ascii="Calibri" w:hAnsi="Calibri" w:cs="Calibri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bCs/>
          <w:sz w:val="20"/>
          <w:szCs w:val="20"/>
          <w:lang w:val="hr-HR"/>
        </w:rPr>
        <w:t>Nastavni plan</w:t>
      </w:r>
      <w:r w:rsidR="00C66CBD" w:rsidRPr="00207869">
        <w:rPr>
          <w:rFonts w:ascii="Calibri" w:hAnsi="Calibri" w:cs="Calibri"/>
          <w:b/>
          <w:bCs/>
          <w:sz w:val="20"/>
          <w:szCs w:val="20"/>
          <w:lang w:val="hr-HR"/>
        </w:rPr>
        <w:t>:</w:t>
      </w:r>
    </w:p>
    <w:p w14:paraId="2A69B7D3" w14:textId="77777777" w:rsidR="007B4983" w:rsidRPr="00207869" w:rsidRDefault="007B4983" w:rsidP="007B4983">
      <w:pPr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207869" w14:paraId="01E2289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4BDF391" w14:textId="14B0F732" w:rsidR="0012248D" w:rsidRPr="00207869" w:rsidRDefault="006E3B88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bookmarkStart w:id="0" w:name="_Hlk109223769"/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A236F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</w:t>
            </w:r>
            <w:r w:rsidR="0058228E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Uvod u toksikologiju; Podjela i značaj toksikologije</w:t>
            </w:r>
          </w:p>
          <w:p w14:paraId="7635DA50" w14:textId="6407F435" w:rsidR="00C16A34" w:rsidRPr="00207869" w:rsidRDefault="00C16A34" w:rsidP="00C16A34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Studenti trebaju naučiti i razumjeti temeljne definicije i pojmove u toksikologiji te opće principe toksičnosti.</w:t>
            </w:r>
          </w:p>
          <w:p w14:paraId="0B052AB3" w14:textId="77777777" w:rsidR="0012248D" w:rsidRPr="00207869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043BD69" w14:textId="20307431" w:rsidR="0012248D" w:rsidRPr="00207869" w:rsidRDefault="006E3B88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A236F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2</w:t>
            </w:r>
            <w:r w:rsidR="0058228E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87011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Toksikokinetika</w:t>
            </w:r>
            <w:proofErr w:type="spellEnd"/>
            <w:r w:rsidR="00D87011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: apsorpcija, distribucija</w:t>
            </w:r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, metabolizam i eliminacija otrova</w:t>
            </w:r>
          </w:p>
          <w:p w14:paraId="21C661AD" w14:textId="58D8DEE1" w:rsidR="00C16A34" w:rsidRDefault="00C16A34" w:rsidP="008F6DEE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Studenti trebaju naučiti i razumjeti temeljne principe kinetike vezane uz apsorpciju, raspodjelu, </w:t>
            </w:r>
            <w:proofErr w:type="spellStart"/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biotransformaciju</w:t>
            </w:r>
            <w:proofErr w:type="spellEnd"/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i izlučivanje otrova.</w:t>
            </w:r>
          </w:p>
          <w:p w14:paraId="12EB3FD3" w14:textId="65FC2C36" w:rsidR="00C5481F" w:rsidRDefault="00C5481F" w:rsidP="008F6DEE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</w:p>
          <w:p w14:paraId="21F767CC" w14:textId="3D7DEAFE" w:rsidR="00C5481F" w:rsidRPr="00207869" w:rsidRDefault="00C5481F" w:rsidP="00C5481F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3</w:t>
            </w: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Toksiko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dinamika</w:t>
            </w:r>
            <w:proofErr w:type="spellEnd"/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mehanizmi toksičnosti tvari</w:t>
            </w:r>
          </w:p>
          <w:p w14:paraId="1638F40E" w14:textId="4967733F" w:rsidR="00C5481F" w:rsidRPr="00207869" w:rsidRDefault="00C5481F" w:rsidP="00C5481F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Ishodi učenja: 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Studenti trebaju naučiti temeljn</w:t>
            </w: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i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princip</w:t>
            </w:r>
            <w:r w:rsidR="00F827C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F827C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toksikodinamike</w:t>
            </w:r>
            <w:proofErr w:type="spellEnd"/>
            <w:r w:rsidR="00A75E5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, te znati objasniti mehanizm</w:t>
            </w:r>
            <w:r w:rsidR="00181DD6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e</w:t>
            </w:r>
            <w:r w:rsidR="00A75E5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štetnih učinaka toksičnih tvari u organizmu.</w:t>
            </w:r>
          </w:p>
          <w:p w14:paraId="529DFF57" w14:textId="77777777" w:rsidR="00A236F6" w:rsidRPr="00207869" w:rsidRDefault="00A236F6" w:rsidP="008F6DEE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</w:p>
          <w:p w14:paraId="1259901D" w14:textId="4BCE715D" w:rsidR="00A236F6" w:rsidRPr="00207869" w:rsidRDefault="00A236F6" w:rsidP="00A236F6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0918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4</w:t>
            </w:r>
            <w:r w:rsidR="0058228E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Tipovi izloženosti otrovima i vrste odgovora</w:t>
            </w:r>
          </w:p>
          <w:p w14:paraId="10FA6468" w14:textId="5EF774EE" w:rsidR="00A236F6" w:rsidRPr="00207869" w:rsidRDefault="00A236F6" w:rsidP="00A236F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trebaju steći temeljna znanja o tipovima izloženosti otrovima i vrstama odgovora organizma na otrove kao i o biokemijskim i molekularnim mehanizmima toksičnosti lijekova/otrova.</w:t>
            </w:r>
          </w:p>
          <w:p w14:paraId="70EAA246" w14:textId="77777777" w:rsidR="0012248D" w:rsidRPr="00207869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46055FB" w14:textId="0448042B" w:rsidR="000515F8" w:rsidRPr="00207869" w:rsidRDefault="00C16A34" w:rsidP="000515F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0918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5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Ne</w:t>
            </w:r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kliničko</w:t>
            </w:r>
            <w:proofErr w:type="spellEnd"/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testiranje lijekova: akutna i kronična toksičnost, reproduktivna toksičnost</w:t>
            </w:r>
            <w:r w:rsidR="000918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, </w:t>
            </w:r>
            <w:r w:rsidR="000918D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918D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mutageneza</w:t>
            </w:r>
            <w:proofErr w:type="spellEnd"/>
            <w:r w:rsidR="000918D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0918D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karcinogeneza</w:t>
            </w:r>
            <w:proofErr w:type="spellEnd"/>
            <w:r w:rsidR="000918D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, lokalna podnošljivost</w:t>
            </w:r>
            <w:r w:rsidR="009C21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14:paraId="2ECF7672" w14:textId="35A37CBA" w:rsidR="00C16A34" w:rsidRPr="00207869" w:rsidRDefault="00C16A34" w:rsidP="000515F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</w:t>
            </w:r>
            <w:r w:rsidRPr="00207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  <w:r w:rsidR="0058228E" w:rsidRPr="00207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F6DEE" w:rsidRPr="00207869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Studenti</w:t>
            </w:r>
            <w:r w:rsidR="008F6DEE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trebaju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steći temeljna znanja o osnovnim toksikološkim analizama u procesima akutne,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subakutne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subkronične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kronične toksičnosti</w:t>
            </w:r>
            <w:r w:rsidR="002E0C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teratogeneze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reproduktivne toksičnosti</w:t>
            </w:r>
            <w:r w:rsidR="009C21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te </w:t>
            </w:r>
            <w:r w:rsidR="009C214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C214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karcinogeneze</w:t>
            </w:r>
            <w:proofErr w:type="spellEnd"/>
            <w:r w:rsidR="009C214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9C214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mutageneze</w:t>
            </w:r>
            <w:proofErr w:type="spellEnd"/>
            <w:r w:rsidR="009C214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9C214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ekotoksičnosti</w:t>
            </w:r>
            <w:proofErr w:type="spellEnd"/>
            <w:r w:rsidR="009C214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reakcija lokalne preosjetljivosti.  </w:t>
            </w:r>
          </w:p>
          <w:p w14:paraId="67FFBB6B" w14:textId="77777777" w:rsidR="008F6DEE" w:rsidRPr="00207869" w:rsidRDefault="008F6DEE" w:rsidP="00C16A3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2AD7CDF2" w14:textId="77777777" w:rsidR="008F6DEE" w:rsidRPr="00207869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6 </w:t>
            </w:r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Testovi toksičnosti i procjene rizika</w:t>
            </w:r>
          </w:p>
          <w:p w14:paraId="34048273" w14:textId="11B9C30C" w:rsidR="008F6DEE" w:rsidRPr="00207869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 steći temeljna znanja o </w:t>
            </w:r>
            <w:r w:rsidR="0058228E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različitim eksperimentalnim modelima koji se koriste u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testiranju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toksičnosti i procjen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ama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rizika. </w:t>
            </w:r>
          </w:p>
          <w:p w14:paraId="2C0D3ED5" w14:textId="77777777" w:rsidR="008F6DEE" w:rsidRPr="00207869" w:rsidRDefault="008F6DEE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3304F0B" w14:textId="77777777" w:rsidR="00514E19" w:rsidRPr="00207869" w:rsidRDefault="00514E19" w:rsidP="00CB28AF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7 </w:t>
            </w:r>
            <w:r w:rsidR="00CB28AF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Osobitosti trovanja i liječenja trovanja</w:t>
            </w:r>
          </w:p>
          <w:p w14:paraId="3F550E6C" w14:textId="608FCBC8" w:rsidR="00514E19" w:rsidRPr="00207869" w:rsidRDefault="00514E19" w:rsidP="00514E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</w:t>
            </w:r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temeljna znanja o općim principima trovanja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liječenja trovanja</w:t>
            </w:r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tj. znati i razumjeti manifestacije trovanja pojedinim lijekovima/otrovima ili skupinama lijekova/otrova na </w:t>
            </w:r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 xml:space="preserve">ciljnim organima (toksikologija respiratornog sustava, jetre, bubrega, kože, oka, 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živčanog sustava</w:t>
            </w:r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reproduktivnog i kardiovaskularnog sustava, </w:t>
            </w:r>
            <w:proofErr w:type="spellStart"/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imunotoksikologija</w:t>
            </w:r>
            <w:proofErr w:type="spellEnd"/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).</w:t>
            </w:r>
          </w:p>
          <w:p w14:paraId="3D170C44" w14:textId="77777777" w:rsidR="00514E19" w:rsidRPr="00207869" w:rsidRDefault="00514E19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</w:p>
          <w:p w14:paraId="383E6E09" w14:textId="77777777" w:rsidR="008F6DEE" w:rsidRPr="00207869" w:rsidRDefault="008F6DEE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8 </w:t>
            </w:r>
            <w:r w:rsidR="00CB28AF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Osobitosti trovanja </w:t>
            </w:r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u </w:t>
            </w:r>
            <w:r w:rsidR="00CB28AF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trudnica, djece i starijih osoba</w:t>
            </w:r>
          </w:p>
          <w:p w14:paraId="4E10273C" w14:textId="447CDCDA" w:rsidR="000E74C6" w:rsidRPr="00207869" w:rsidRDefault="008F6DEE" w:rsidP="00A7337A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B31BC3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trebaju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znati i razumjeti specifičnosti primjene lijekova u trudnoći s osvrtom na </w:t>
            </w:r>
            <w:proofErr w:type="spellStart"/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teratogene</w:t>
            </w:r>
            <w:proofErr w:type="spellEnd"/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lijekove i njihovu klasifikaciju te liječenje trovanja. Također,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trebaju znati i razumjeti specifičnosti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trovanja u pojedinim dobnim skupinama, tj. u djece i starijih osoba.</w:t>
            </w:r>
          </w:p>
          <w:bookmarkEnd w:id="0"/>
          <w:p w14:paraId="5CBE0C13" w14:textId="77777777" w:rsidR="00426BBF" w:rsidRPr="00207869" w:rsidRDefault="00426BBF" w:rsidP="00A7337A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5C3C1414" w14:textId="77777777" w:rsidR="001877BB" w:rsidRPr="00207869" w:rsidRDefault="001877BB" w:rsidP="001877BB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207869">
        <w:rPr>
          <w:rFonts w:ascii="Calibri" w:hAnsi="Calibri" w:cs="Calibri"/>
          <w:bCs w:val="0"/>
          <w:color w:val="000000"/>
          <w:sz w:val="20"/>
          <w:szCs w:val="20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207869" w14:paraId="212BF407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7DB1A57" w14:textId="0531662C" w:rsidR="00641397" w:rsidRPr="00207869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bookmarkStart w:id="1" w:name="_Hlk109223782"/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Toksikologija</w:t>
            </w:r>
            <w:r w:rsidR="00F24287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–</w:t>
            </w:r>
            <w:r w:rsidR="00426BBF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uvod</w:t>
            </w:r>
          </w:p>
          <w:p w14:paraId="7B8E2244" w14:textId="77777777" w:rsidR="00802C19" w:rsidRPr="00207869" w:rsidRDefault="00641397" w:rsidP="00802C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</w:t>
            </w:r>
            <w:r w:rsidR="00426BB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znati i razumjeti definicije, podjele i značaj toksikologije. Također, trebaju steći osnovna znanja o otrovnim tvarima, njihovim učincima i kriterijima klasifikacije.</w:t>
            </w:r>
          </w:p>
          <w:p w14:paraId="16C5806B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1DC4A23" w14:textId="53296AB1" w:rsidR="00641397" w:rsidRPr="00207869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40801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Toksikokinetika</w:t>
            </w:r>
            <w:proofErr w:type="spellEnd"/>
          </w:p>
          <w:p w14:paraId="6B14DC35" w14:textId="77777777" w:rsidR="00802C19" w:rsidRPr="00207869" w:rsidRDefault="00641397" w:rsidP="00802C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steći osnovna znanja o 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procesima apsorpcije</w:t>
            </w:r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distribucije</w:t>
            </w:r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biotransformacije</w:t>
            </w:r>
            <w:proofErr w:type="spellEnd"/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eliminacije 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otrova.</w:t>
            </w:r>
          </w:p>
          <w:p w14:paraId="1A50BFA3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6D496B9" w14:textId="76EEF7CB" w:rsidR="00AC79DB" w:rsidRPr="00207869" w:rsidRDefault="00641397" w:rsidP="0064139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F24287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Dijagnostički i terapijski postupci u akutnom otrovanju; Osobitosti intenzivnog liječenja otrovanog bolesnika</w:t>
            </w:r>
          </w:p>
          <w:p w14:paraId="44A70E20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steći osnovna znanja o</w:t>
            </w:r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općoj dijagnostici i liječenju trovanja. Također, trebaju znati i razumjeti kriterije za prijem i liječenje otrovanih u jedinici za intenzivno liječenje.</w:t>
            </w:r>
          </w:p>
          <w:p w14:paraId="57D5B013" w14:textId="77777777" w:rsidR="00F24287" w:rsidRPr="00207869" w:rsidRDefault="00F2428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BD0A98F" w14:textId="36CAAF9B" w:rsidR="00AC79DB" w:rsidRPr="00207869" w:rsidRDefault="00641397" w:rsidP="00641397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Genetska toksikologija</w:t>
            </w:r>
            <w:r w:rsidR="002E0C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</w:t>
            </w:r>
          </w:p>
          <w:p w14:paraId="4F05B8ED" w14:textId="2EE379E4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02C19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tipovima i mehanizmu mutacija te popravka molekule DNK</w:t>
            </w:r>
            <w:r w:rsidR="00207869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 kontekstu toksikologije.</w:t>
            </w:r>
          </w:p>
          <w:p w14:paraId="29943E1B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71F5BC4" w14:textId="18BFAD25" w:rsidR="00641397" w:rsidRPr="00207869" w:rsidRDefault="00641397" w:rsidP="0079775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Genetska toksikologija</w:t>
            </w:r>
            <w:r w:rsidR="002E0C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II</w:t>
            </w:r>
          </w:p>
          <w:p w14:paraId="49102C65" w14:textId="3198829C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mutagenezi</w:t>
            </w:r>
            <w:proofErr w:type="spellEnd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karcinogenezi</w:t>
            </w:r>
            <w:proofErr w:type="spellEnd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teratogenezi</w:t>
            </w:r>
            <w:proofErr w:type="spellEnd"/>
            <w:r w:rsidR="00207869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 kontekstu toksikologije.</w:t>
            </w:r>
          </w:p>
          <w:p w14:paraId="0C83EF65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C839ADB" w14:textId="42D758A3" w:rsidR="00641397" w:rsidRPr="00207869" w:rsidRDefault="00641397" w:rsidP="00AC79DB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>Ekotoksikologija</w:t>
            </w:r>
            <w:proofErr w:type="spellEnd"/>
          </w:p>
          <w:p w14:paraId="1FD8A0FF" w14:textId="5A70475F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D0445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principima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ekotoksikologije</w:t>
            </w:r>
            <w:proofErr w:type="spellEnd"/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procjen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ama okolišne opasnosti. </w:t>
            </w:r>
          </w:p>
          <w:p w14:paraId="54A51D85" w14:textId="77777777" w:rsidR="00451A04" w:rsidRPr="00207869" w:rsidRDefault="00451A04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D6A4AB6" w14:textId="206EDF68" w:rsidR="00451A04" w:rsidRPr="00207869" w:rsidRDefault="00451A04" w:rsidP="00451A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7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Nesreće s kemikalijama</w:t>
            </w:r>
          </w:p>
          <w:p w14:paraId="51C10853" w14:textId="0C622422" w:rsidR="00451A04" w:rsidRPr="00207869" w:rsidRDefault="00451A04" w:rsidP="00451A0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principima sprječavanja, djelovanja i sanacije kemijskih nesreća te o</w:t>
            </w:r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>Hrvatskom zakonodavstvu o otrovima.</w:t>
            </w:r>
          </w:p>
          <w:p w14:paraId="75693AAE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0FD1FF1" w14:textId="587D4EBA" w:rsidR="00641397" w:rsidRPr="00207869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8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Informatika u toksikologiji</w:t>
            </w:r>
          </w:p>
          <w:p w14:paraId="69BF4EC5" w14:textId="77777777" w:rsidR="00641397" w:rsidRPr="00207869" w:rsidRDefault="00641397" w:rsidP="00D0445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korištenju informatike u toksikologiji. </w:t>
            </w:r>
          </w:p>
          <w:p w14:paraId="6B3DBCD2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A81BBA7" w14:textId="77777777" w:rsidR="00341787" w:rsidRPr="00207869" w:rsidRDefault="00341787" w:rsidP="0064139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9 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>Forenzička toksikologija</w:t>
            </w:r>
          </w:p>
          <w:p w14:paraId="1E08B6C8" w14:textId="5A422D61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D0445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sudsko-medicinskim aspektima</w:t>
            </w:r>
            <w:r w:rsidR="00D31A6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različitih trovanja.</w:t>
            </w:r>
          </w:p>
          <w:p w14:paraId="4F58EA93" w14:textId="77777777" w:rsidR="00641397" w:rsidRPr="00207869" w:rsidRDefault="00641397" w:rsidP="00797752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E3D763A" w14:textId="7D04D50F" w:rsidR="00D31A62" w:rsidRPr="00207869" w:rsidRDefault="00EF026E" w:rsidP="00D31A62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207869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>Popis vježbi</w:t>
      </w:r>
      <w:r w:rsidR="00D31A62" w:rsidRPr="00207869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 xml:space="preserve">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31A62" w:rsidRPr="00207869" w14:paraId="27EFDD58" w14:textId="77777777" w:rsidTr="00FC741D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78AEE49" w14:textId="191159E8" w:rsidR="00EF026E" w:rsidRPr="002C2AD6" w:rsidRDefault="00EF026E" w:rsidP="00EF026E">
            <w:pPr>
              <w:pStyle w:val="BodyTex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Vježba</w:t>
            </w:r>
            <w:r w:rsidRPr="002C2A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="0043410E" w:rsidRPr="00B3222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1</w:t>
            </w:r>
            <w:r w:rsidRPr="002C2A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Uzorak i analiza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  <w:p w14:paraId="07E4465B" w14:textId="5B6BD0BF" w:rsidR="00EF026E" w:rsidRDefault="00EF026E" w:rsidP="00EF026E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uzimanju uzoraka za toksikološke analize, izolaciji otrova, metodama određivanja otrova te dobroj laboratorijskoj praksi.</w:t>
            </w:r>
          </w:p>
          <w:p w14:paraId="5234185C" w14:textId="77777777" w:rsidR="00EF026E" w:rsidRPr="00207869" w:rsidRDefault="00EF026E" w:rsidP="00EF02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6ED6611" w14:textId="56F51FAB" w:rsidR="00D31A62" w:rsidRPr="00EB484F" w:rsidRDefault="00D31A62" w:rsidP="00D31A6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Vježba</w:t>
            </w:r>
            <w:r w:rsidRPr="002C2A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43410E" w:rsidRPr="00B3222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hr-HR"/>
              </w:rPr>
              <w:t>2</w:t>
            </w:r>
            <w:r w:rsidRPr="002C2AD6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Informatika u toksikologiji</w:t>
            </w:r>
            <w:r w:rsidR="008E1BF8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– toksikološke baze podataka</w:t>
            </w:r>
            <w:r w:rsidR="00EB484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58614DBB" w14:textId="4E6BE2CD" w:rsidR="00D31A62" w:rsidRPr="00EF026E" w:rsidRDefault="00D31A62" w:rsidP="00EF026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Studenti trebaju steći osnovna znanja o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toksikološk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baz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ama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podataka, simulacij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ama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proces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ima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bitn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evidentiranju otrova.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Studenti trebaju ovladati vještinom korištenja nekih od toksikoloških baza.</w:t>
            </w:r>
          </w:p>
        </w:tc>
      </w:tr>
      <w:bookmarkEnd w:id="1"/>
    </w:tbl>
    <w:p w14:paraId="380B4DB7" w14:textId="77777777" w:rsidR="00DD0F2D" w:rsidRPr="00207869" w:rsidRDefault="00DD0F2D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24B129AB" w14:textId="77777777" w:rsidR="005D02DE" w:rsidRPr="00207869" w:rsidRDefault="005D02D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bCs/>
          <w:sz w:val="20"/>
          <w:szCs w:val="20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207869" w14:paraId="5B6F43DB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B9843D6" w14:textId="77777777" w:rsidR="007B4983" w:rsidRPr="00207869" w:rsidRDefault="00DD0F2D" w:rsidP="00D04CEC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su obvezni redovito pohađati i aktivno sudjelovati u </w:t>
            </w:r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nastavi. Obvezni su pratiti i postupati po obavijestima i pravilima u svezi pohađanja nastave, izostanaka, parcijalnih ispita I </w:t>
            </w:r>
            <w:proofErr w:type="spellStart"/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proofErr w:type="spellEnd"/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II, popravaka  p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arcijalnih 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 xml:space="preserve">ispita, </w:t>
            </w:r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završnog ispita itd.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</w:t>
            </w:r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koja će biti preze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ntirana na prvom predavanju, te redovito i na vrijeme objavljivana na </w:t>
            </w:r>
            <w:proofErr w:type="spellStart"/>
            <w:r w:rsidR="00087F18"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Sharepoint</w:t>
            </w:r>
            <w:proofErr w:type="spellEnd"/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portalu Sveučilišta u Rijeci kao i putem sustava za e-učenje Merlin na koji se prijavljuju pomoću svog AAI identiteta.</w:t>
            </w:r>
          </w:p>
        </w:tc>
      </w:tr>
    </w:tbl>
    <w:p w14:paraId="568AFD9A" w14:textId="77777777" w:rsidR="007B4983" w:rsidRPr="00207869" w:rsidRDefault="007B4983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2D2FDD01" w14:textId="77777777" w:rsidR="005D02DE" w:rsidRPr="00207869" w:rsidRDefault="005D02DE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203E43F6" w14:textId="77777777" w:rsidR="00FD442F" w:rsidRPr="00207869" w:rsidRDefault="00FD442F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Ispit (način polaganja ispita, opis pis</w:t>
      </w:r>
      <w:r w:rsidR="00B443F2" w:rsidRPr="00207869">
        <w:rPr>
          <w:rFonts w:ascii="Calibri" w:hAnsi="Calibri" w:cs="Calibri"/>
          <w:b/>
          <w:sz w:val="20"/>
          <w:szCs w:val="20"/>
          <w:lang w:val="hr-HR"/>
        </w:rPr>
        <w:t>anog</w:t>
      </w:r>
      <w:r w:rsidRPr="00207869">
        <w:rPr>
          <w:rFonts w:ascii="Calibri" w:hAnsi="Calibri" w:cs="Calibri"/>
          <w:b/>
          <w:sz w:val="20"/>
          <w:szCs w:val="20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207869" w14:paraId="6E21123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FC1EA9E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ECTS bodovni sustav ocjenjivanja:</w:t>
            </w:r>
          </w:p>
          <w:p w14:paraId="1D52765C" w14:textId="77777777" w:rsidR="00C16A34" w:rsidRPr="00207869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Ocjenjivanje studenata provodi se prema važećem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studijima Sveučilišta u Rijeci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te prema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ocjenjivanju studenata na Medicinskom fakultetu u Rijeci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(usvojenog na Fakultetskom vijeću Medicinskog fakulteta u Rijeci). </w:t>
            </w:r>
          </w:p>
          <w:p w14:paraId="7F935B6B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Rad studenata vrednovat će se i ocjenjivati tijekom izvođenja nastave, te na završnom ispitu. Od ukupno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100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tijekom nastave student može ostvariti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70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na završnom ispitu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30 bodova. </w:t>
            </w:r>
          </w:p>
          <w:p w14:paraId="53271A52" w14:textId="77777777" w:rsidR="00C16A34" w:rsidRPr="00207869" w:rsidRDefault="00C16A34" w:rsidP="00DD0F2D">
            <w:pPr>
              <w:numPr>
                <w:ilvl w:val="0"/>
                <w:numId w:val="38"/>
              </w:numPr>
              <w:spacing w:before="60" w:after="120"/>
              <w:ind w:left="270" w:hanging="27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 xml:space="preserve">Tijekom nastave vrednuje se (maksimalno do 70 bodova): </w:t>
            </w:r>
          </w:p>
          <w:p w14:paraId="1E299EC6" w14:textId="77777777" w:rsidR="00E717FF" w:rsidRPr="00207869" w:rsidRDefault="00D04CEC" w:rsidP="0091369F">
            <w:pPr>
              <w:spacing w:before="60" w:after="120"/>
              <w:ind w:left="540" w:hanging="27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A. </w:t>
            </w:r>
            <w:r w:rsidR="00E717FF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 xml:space="preserve"> aktivnost na nastavi</w:t>
            </w:r>
            <w:r w:rsidR="00E717F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: moguće je ostvariti najviše </w:t>
            </w:r>
            <w:r w:rsidR="00E717FF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5 bodova</w:t>
            </w:r>
            <w:r w:rsidR="00E717F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</w:p>
          <w:p w14:paraId="3DBCC362" w14:textId="77777777" w:rsidR="00DD0F2D" w:rsidRPr="00207869" w:rsidRDefault="00E717FF" w:rsidP="0091369F">
            <w:pPr>
              <w:spacing w:before="60" w:after="120"/>
              <w:ind w:left="540" w:hanging="270"/>
              <w:jc w:val="both"/>
              <w:rPr>
                <w:rFonts w:ascii="Calibri" w:hAnsi="Calibri" w:cs="Calibri"/>
                <w:sz w:val="20"/>
                <w:szCs w:val="20"/>
                <w:highlight w:val="yellow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B.  </w:t>
            </w:r>
            <w:r w:rsidR="00D04CEC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usvojeno znanje na parcijalnim testovima</w:t>
            </w:r>
            <w:r w:rsidR="00D04CEC" w:rsidRPr="00207869">
              <w:rPr>
                <w:rFonts w:ascii="Calibri" w:hAnsi="Calibri" w:cs="Calibri"/>
                <w:sz w:val="20"/>
                <w:szCs w:val="20"/>
                <w:lang w:val="hr-HR"/>
              </w:rPr>
              <w:t>: t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ijekom nastave pisati će se dva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testa (</w:t>
            </w:r>
            <w:r w:rsidR="00A1322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parcijalni 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test I </w:t>
            </w:r>
            <w:proofErr w:type="spellStart"/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proofErr w:type="spellEnd"/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II), na kojima se maksimalno može </w:t>
            </w:r>
            <w:r w:rsidR="00D04CEC" w:rsidRPr="00207869">
              <w:rPr>
                <w:rFonts w:ascii="Calibri" w:hAnsi="Calibri" w:cs="Calibri"/>
                <w:sz w:val="20"/>
                <w:szCs w:val="20"/>
                <w:lang w:val="hr-HR"/>
              </w:rPr>
              <w:t>ostvariti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do </w:t>
            </w:r>
            <w:r w:rsidR="00DD0F2D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35 bodova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prvom testu, a do </w:t>
            </w:r>
            <w:r w:rsidR="00DD0F2D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30 bodova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drugom testu (ukupno najviše </w:t>
            </w:r>
            <w:r w:rsidR="00DD0F2D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65</w:t>
            </w:r>
            <w:r w:rsidR="00303191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 xml:space="preserve">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).</w:t>
            </w:r>
          </w:p>
          <w:p w14:paraId="0DA05BF3" w14:textId="77777777" w:rsidR="00C16A34" w:rsidRPr="00207869" w:rsidRDefault="00C16A34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II. Završni ispit (do 30 bodova)</w:t>
            </w:r>
          </w:p>
          <w:p w14:paraId="5BF4287B" w14:textId="60617326" w:rsidR="00DF1989" w:rsidRPr="00207869" w:rsidRDefault="00DF1989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Završni ispit sastoji se od dva dijela: završnog testa i usmenog ispita.</w:t>
            </w:r>
            <w:r w:rsid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Svaki dio završnog ispita mora biti pozitivno ocijenjen kako bi se ispit smatrao položenim!</w:t>
            </w:r>
            <w:r w:rsid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2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Pismeni dio završnog ispita ocjenjuje se prema shemi:</w:t>
            </w:r>
          </w:p>
          <w:tbl>
            <w:tblPr>
              <w:tblW w:w="3510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1369"/>
            </w:tblGrid>
            <w:tr w:rsidR="00504A27" w:rsidRPr="00207869" w14:paraId="17FE07D1" w14:textId="77777777" w:rsidTr="00504A27">
              <w:trPr>
                <w:trHeight w:val="364"/>
              </w:trPr>
              <w:tc>
                <w:tcPr>
                  <w:tcW w:w="2141" w:type="dxa"/>
                  <w:tcBorders>
                    <w:top w:val="dotted" w:sz="4" w:space="0" w:color="BBBBBB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D9D9D9"/>
                  <w:vAlign w:val="center"/>
                  <w:hideMark/>
                </w:tcPr>
                <w:p w14:paraId="40C1E128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  <w:t>Broj točnih odgovora</w:t>
                  </w:r>
                </w:p>
              </w:tc>
              <w:tc>
                <w:tcPr>
                  <w:tcW w:w="1369" w:type="dxa"/>
                  <w:tcBorders>
                    <w:top w:val="dotted" w:sz="4" w:space="0" w:color="BBBBBB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D9D9D9"/>
                  <w:vAlign w:val="center"/>
                  <w:hideMark/>
                </w:tcPr>
                <w:p w14:paraId="68E799A4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  <w:t>Broj bodova</w:t>
                  </w:r>
                </w:p>
              </w:tc>
            </w:tr>
            <w:tr w:rsidR="00504A27" w:rsidRPr="00207869" w14:paraId="2FAE6E4A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077E8B3C" w14:textId="573FB279" w:rsidR="00504A27" w:rsidRPr="00207869" w:rsidRDefault="00407B3D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29</w:t>
                  </w:r>
                  <w:r w:rsidR="00504A27"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 xml:space="preserve"> -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3</w:t>
                  </w:r>
                  <w:r w:rsidR="00504A27"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1CB03A04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504A27" w:rsidRPr="00207869" w14:paraId="09053FD2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1C9E79F" w14:textId="1AD58929" w:rsidR="00504A27" w:rsidRPr="00207869" w:rsidRDefault="00106895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26</w:t>
                  </w:r>
                  <w:r w:rsidR="00504A27"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 xml:space="preserve"> -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49C79754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8</w:t>
                  </w:r>
                </w:p>
              </w:tc>
            </w:tr>
            <w:tr w:rsidR="00504A27" w:rsidRPr="00207869" w14:paraId="0A3F8D28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296E07A6" w14:textId="063CC123" w:rsidR="00504A27" w:rsidRPr="00207869" w:rsidRDefault="00106895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23</w:t>
                  </w:r>
                  <w:r w:rsidR="00504A27"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 xml:space="preserve"> -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7D283328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</w:tr>
            <w:tr w:rsidR="00504A27" w:rsidRPr="00207869" w14:paraId="56E99020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4316E251" w14:textId="53745992" w:rsidR="00504A27" w:rsidRPr="00207869" w:rsidRDefault="00106895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19</w:t>
                  </w:r>
                  <w:r w:rsidR="00504A27"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 xml:space="preserve"> -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FF50C66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4</w:t>
                  </w:r>
                </w:p>
              </w:tc>
            </w:tr>
            <w:tr w:rsidR="00504A27" w:rsidRPr="00207869" w14:paraId="3D2EACB6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94B0B1E" w14:textId="656F20B4" w:rsidR="00504A27" w:rsidRPr="00207869" w:rsidRDefault="00106895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15</w:t>
                  </w:r>
                  <w:r w:rsidR="00504A27"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 xml:space="preserve"> -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18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2EF66287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</w:t>
                  </w:r>
                </w:p>
              </w:tc>
            </w:tr>
            <w:tr w:rsidR="00504A27" w:rsidRPr="00207869" w14:paraId="5D582022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42A48986" w14:textId="0D50B4E6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 xml:space="preserve">0 - </w:t>
                  </w:r>
                  <w:r w:rsidR="001068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14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3D3CB77E" w14:textId="77777777" w:rsidR="00504A27" w:rsidRPr="00207869" w:rsidRDefault="00504A27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0</w:t>
                  </w:r>
                </w:p>
              </w:tc>
            </w:tr>
          </w:tbl>
          <w:p w14:paraId="18D59D82" w14:textId="77777777" w:rsidR="00504A27" w:rsidRPr="00207869" w:rsidRDefault="00504A2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56083FF2" w14:textId="533DAF95" w:rsidR="00504A27" w:rsidRPr="00207869" w:rsidRDefault="00504A27" w:rsidP="00504A2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Kandidati koji ne riješe bar 50% završnog testa </w:t>
            </w:r>
            <w:r w:rsidR="00A1322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(</w:t>
            </w:r>
            <w:r w:rsidR="0070719A">
              <w:rPr>
                <w:rFonts w:ascii="Calibri" w:hAnsi="Calibri" w:cs="Calibri"/>
                <w:sz w:val="20"/>
                <w:szCs w:val="20"/>
                <w:lang w:val="hr-HR"/>
              </w:rPr>
              <w:t>15</w:t>
            </w:r>
            <w:r w:rsidR="00A1322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točnih odgovora)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ne mogu pristupiti usmenom dijelu ispita.</w:t>
            </w:r>
          </w:p>
          <w:p w14:paraId="1589F7D7" w14:textId="77777777" w:rsidR="00504A27" w:rsidRPr="00207869" w:rsidRDefault="00504A27" w:rsidP="00504A2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Usmeni dio završnog ispita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obvezatan je za sve studente! Maksimalan broj bodova dobiven na usmenom ispitu je 20. Za ocjenu dovoljan na ovom dijelu ispita student dobiva 1</w:t>
            </w:r>
            <w:r w:rsidR="00410A25" w:rsidRPr="00207869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za ocjenu dobar 15, za ocjenu vrlo dobar 18, a za ocjenu izvrstan 20 bodova.</w:t>
            </w:r>
          </w:p>
          <w:p w14:paraId="68F5AD2C" w14:textId="77777777" w:rsidR="0086522B" w:rsidRPr="00207869" w:rsidRDefault="0086522B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</w:p>
          <w:p w14:paraId="3401686C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može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</w:p>
          <w:p w14:paraId="350FBF3E" w14:textId="77777777" w:rsidR="0083497A" w:rsidRPr="00207869" w:rsidRDefault="0086522B" w:rsidP="0086522B">
            <w:pPr>
              <w:pStyle w:val="ListParagraph"/>
              <w:numPr>
                <w:ilvl w:val="0"/>
                <w:numId w:val="41"/>
              </w:numPr>
              <w:spacing w:before="6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Završnom ispitu mogu pristupiti oni studenti koji su tijekom nastave ostvarili najmanje</w:t>
            </w:r>
            <w:r w:rsidR="00504A27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35 bodova, odnosno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50% od maksimalno mogućih bodova. </w:t>
            </w:r>
          </w:p>
          <w:p w14:paraId="3828765B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ne može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ispitu:</w:t>
            </w:r>
          </w:p>
          <w:p w14:paraId="035149D1" w14:textId="158B6CCC" w:rsidR="00C16A34" w:rsidRPr="00207869" w:rsidRDefault="00C16A34" w:rsidP="00C16A34">
            <w:pPr>
              <w:numPr>
                <w:ilvl w:val="0"/>
                <w:numId w:val="20"/>
              </w:num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Studenti koji su t</w:t>
            </w:r>
            <w:r w:rsidR="0086522B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ijekom nastave ostvarili 0 do 34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,9 bodova ili koji imaju 30% i više izostanaka s nastave.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Takav student je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neuspješan (1) F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ne može izaći na završni ispit, tj. mora predmet ponovno upisati naredne akademske godine.</w:t>
            </w:r>
          </w:p>
          <w:p w14:paraId="608998B6" w14:textId="77777777" w:rsidR="0091369F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III. Konačna ocjena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je zbroj ECTS ocjene ostvarene tijekom nastave i na završnom ispitu: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126"/>
            </w:tblGrid>
            <w:tr w:rsidR="00C16A34" w:rsidRPr="00207869" w14:paraId="39625ADE" w14:textId="77777777" w:rsidTr="00783860">
              <w:tc>
                <w:tcPr>
                  <w:tcW w:w="5382" w:type="dxa"/>
                  <w:gridSpan w:val="2"/>
                  <w:shd w:val="clear" w:color="auto" w:fill="D9D9D9"/>
                </w:tcPr>
                <w:p w14:paraId="19B46A65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b/>
                      <w:sz w:val="20"/>
                      <w:szCs w:val="20"/>
                      <w:lang w:val="hr-HR"/>
                    </w:rPr>
                    <w:t xml:space="preserve">Konačna ocjena </w:t>
                  </w:r>
                </w:p>
              </w:tc>
            </w:tr>
            <w:tr w:rsidR="00C16A34" w:rsidRPr="00207869" w14:paraId="7026D3BD" w14:textId="77777777" w:rsidTr="00783860">
              <w:tc>
                <w:tcPr>
                  <w:tcW w:w="3256" w:type="dxa"/>
                </w:tcPr>
                <w:p w14:paraId="0D44B6A4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A (</w:t>
                  </w:r>
                  <w:r w:rsidR="00275B2F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0-100%)</w:t>
                  </w:r>
                </w:p>
              </w:tc>
              <w:tc>
                <w:tcPr>
                  <w:tcW w:w="2126" w:type="dxa"/>
                </w:tcPr>
                <w:p w14:paraId="201F69B4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izvrstan (5)</w:t>
                  </w:r>
                </w:p>
              </w:tc>
            </w:tr>
            <w:tr w:rsidR="00C16A34" w:rsidRPr="00207869" w14:paraId="0F5579E1" w14:textId="77777777" w:rsidTr="00783860">
              <w:tc>
                <w:tcPr>
                  <w:tcW w:w="3256" w:type="dxa"/>
                </w:tcPr>
                <w:p w14:paraId="1C95E017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B (7</w:t>
                  </w:r>
                  <w:r w:rsidR="00275B2F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5-8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9,9%)</w:t>
                  </w:r>
                </w:p>
              </w:tc>
              <w:tc>
                <w:tcPr>
                  <w:tcW w:w="2126" w:type="dxa"/>
                </w:tcPr>
                <w:p w14:paraId="3CC29185" w14:textId="77777777" w:rsidR="00C16A34" w:rsidRPr="00207869" w:rsidRDefault="0086522B" w:rsidP="00C531DF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vrlo </w:t>
                  </w:r>
                  <w:r w:rsidR="00C16A34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(4)</w:t>
                  </w:r>
                </w:p>
              </w:tc>
            </w:tr>
            <w:tr w:rsidR="00C16A34" w:rsidRPr="00207869" w14:paraId="261F8228" w14:textId="77777777" w:rsidTr="00783860">
              <w:tc>
                <w:tcPr>
                  <w:tcW w:w="3256" w:type="dxa"/>
                </w:tcPr>
                <w:p w14:paraId="5D31690E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C (60-</w:t>
                  </w:r>
                  <w:r w:rsidR="00275B2F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74,9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14:paraId="4B982064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(3)</w:t>
                  </w:r>
                </w:p>
              </w:tc>
            </w:tr>
            <w:tr w:rsidR="00C16A34" w:rsidRPr="00207869" w14:paraId="223F42E2" w14:textId="77777777" w:rsidTr="00783860">
              <w:tc>
                <w:tcPr>
                  <w:tcW w:w="3256" w:type="dxa"/>
                </w:tcPr>
                <w:p w14:paraId="21D10C9A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6BDD4224" w14:textId="77777777" w:rsidR="00C16A34" w:rsidRPr="00207869" w:rsidRDefault="00C16A34" w:rsidP="00C531DF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A914AA" w:rsidRPr="00207869" w14:paraId="0A379B50" w14:textId="77777777" w:rsidTr="00783860">
              <w:tc>
                <w:tcPr>
                  <w:tcW w:w="3256" w:type="dxa"/>
                </w:tcPr>
                <w:p w14:paraId="6FF5AFD7" w14:textId="0CA6A06E" w:rsidR="00A914AA" w:rsidRPr="00207869" w:rsidRDefault="00A914AA" w:rsidP="00C531DF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F</w:t>
                  </w:r>
                  <w:r w:rsidR="00AB2364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  (</w:t>
                  </w:r>
                  <w:r w:rsidR="00AB2364" w:rsidRPr="00AB2364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0</w:t>
                  </w:r>
                  <w:r w:rsidR="00AB2364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-</w:t>
                  </w:r>
                  <w:r w:rsidR="00AB2364" w:rsidRPr="00AB2364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49,9%</w:t>
                  </w:r>
                  <w:r w:rsidR="00AB2364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)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F67BFD8" w14:textId="4E77E1E2" w:rsidR="00A914AA" w:rsidRPr="00207869" w:rsidRDefault="00A914AA" w:rsidP="00C531DF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nedovoljan (1)</w:t>
                  </w:r>
                </w:p>
              </w:tc>
            </w:tr>
          </w:tbl>
          <w:p w14:paraId="4796C124" w14:textId="4B541E99" w:rsidR="00C16A34" w:rsidRPr="00207869" w:rsidRDefault="00C16A34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Termini održavanja testova tijekom nastave:</w:t>
            </w:r>
          </w:p>
          <w:p w14:paraId="7D7C62F5" w14:textId="0F781C9B" w:rsidR="00A13227" w:rsidRPr="00207869" w:rsidRDefault="00A13227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>Parcijalni t</w:t>
            </w:r>
            <w:r w:rsidR="00DF1989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est I: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polagat će se </w:t>
            </w:r>
            <w:r w:rsidR="00227A4E" w:rsidRPr="00AF75AE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6</w:t>
            </w:r>
            <w:r w:rsidR="00DF1989" w:rsidRPr="00AF75AE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560C36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svibnja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202</w:t>
            </w:r>
            <w:r w:rsidR="003C4DFC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4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27ED4BE3" w14:textId="015A7734" w:rsidR="00D04CEC" w:rsidRPr="00207869" w:rsidRDefault="00A13227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Parcijani</w:t>
            </w:r>
            <w:proofErr w:type="spellEnd"/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t</w:t>
            </w:r>
            <w:r w:rsidR="00DF1989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est II:</w:t>
            </w:r>
            <w:r w:rsidR="0097309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polagat će se </w:t>
            </w:r>
            <w:r w:rsidR="00DB67D7" w:rsidRPr="00AF75AE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2</w:t>
            </w:r>
            <w:r w:rsidR="000414F6" w:rsidRPr="00AF75AE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4</w:t>
            </w:r>
            <w:r w:rsidR="00DF1989" w:rsidRPr="00AF75AE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B67D7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svibnja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202</w:t>
            </w:r>
            <w:r w:rsidR="003C4DFC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4</w:t>
            </w:r>
            <w:r w:rsidR="00560C36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5585191B" w14:textId="76B78243" w:rsidR="00D04CEC" w:rsidRPr="00207869" w:rsidRDefault="00D04CEC" w:rsidP="008850B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Popravci parcijalnih testova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bit će organizirani za studente koji na testovima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nisu zadovoljili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kao i za studente koji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žele popraviti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broj bodova stečenih prethodnim polaganjem testova. U potonjem slučaju kao konačan rezultat računat će se broj bodova ostvaren na popravku! Popravci testova bit će organizirani i za studente koji im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nisu pristupili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za što trebaju imati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opravdan razlog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kojeg su dužni pismeno obrazložiti. Pisani podnesak dužni su nasloviti na voditeljicu kolegija </w:t>
            </w:r>
            <w:r w:rsidR="00276B65">
              <w:t xml:space="preserve"> </w:t>
            </w:r>
            <w:r w:rsidR="00276B65" w:rsidRPr="00276B6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Izv. prof. dr. sc. </w:t>
            </w:r>
            <w:proofErr w:type="spellStart"/>
            <w:r w:rsidR="00276B65" w:rsidRPr="00276B65">
              <w:rPr>
                <w:rFonts w:ascii="Calibri" w:hAnsi="Calibri" w:cs="Calibri"/>
                <w:sz w:val="20"/>
                <w:szCs w:val="20"/>
                <w:lang w:val="hr-HR"/>
              </w:rPr>
              <w:t>Elitz</w:t>
            </w:r>
            <w:r w:rsidR="00FA6108">
              <w:rPr>
                <w:rFonts w:ascii="Calibri" w:hAnsi="Calibri" w:cs="Calibri"/>
                <w:sz w:val="20"/>
                <w:szCs w:val="20"/>
                <w:lang w:val="hr-HR"/>
              </w:rPr>
              <w:t>u</w:t>
            </w:r>
            <w:proofErr w:type="spellEnd"/>
            <w:r w:rsidR="00276B65" w:rsidRPr="00276B6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Petkov</w:t>
            </w:r>
            <w:r w:rsidR="00FA6108">
              <w:rPr>
                <w:rFonts w:ascii="Calibri" w:hAnsi="Calibri" w:cs="Calibri"/>
                <w:sz w:val="20"/>
                <w:szCs w:val="20"/>
                <w:lang w:val="hr-HR"/>
              </w:rPr>
              <w:t>u</w:t>
            </w:r>
            <w:r w:rsidR="00276B65" w:rsidRPr="00276B6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Markov</w:t>
            </w:r>
            <w:r w:rsidR="00FA6108">
              <w:rPr>
                <w:rFonts w:ascii="Calibri" w:hAnsi="Calibri" w:cs="Calibri"/>
                <w:sz w:val="20"/>
                <w:szCs w:val="20"/>
                <w:lang w:val="hr-HR"/>
              </w:rPr>
              <w:t>u</w:t>
            </w:r>
            <w:r w:rsidR="00276B65" w:rsidRPr="00276B65">
              <w:rPr>
                <w:rFonts w:ascii="Calibri" w:hAnsi="Calibri" w:cs="Calibri"/>
                <w:sz w:val="20"/>
                <w:szCs w:val="20"/>
                <w:lang w:val="hr-HR"/>
              </w:rPr>
              <w:t>-Car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urudžbirati ga, te predati u kancelariju Zavoda za temeljnu i kliničku farmakologiju s toksikologijom, zaključno s 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  <w:r w:rsidR="00BA1C77">
              <w:rPr>
                <w:rFonts w:ascii="Calibri" w:hAnsi="Calibri" w:cs="Calibri"/>
                <w:sz w:val="20"/>
                <w:szCs w:val="20"/>
                <w:lang w:val="hr-HR"/>
              </w:rPr>
              <w:t>7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svibnjem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202</w:t>
            </w:r>
            <w:r w:rsidR="00BA1C77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 Popravci test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ova organizirat će se u tjednu 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  <w:r w:rsidR="00BA1C77">
              <w:rPr>
                <w:rFonts w:ascii="Calibri" w:hAnsi="Calibri" w:cs="Calibri"/>
                <w:sz w:val="20"/>
                <w:szCs w:val="20"/>
                <w:lang w:val="hr-HR"/>
              </w:rPr>
              <w:t>7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svibnja 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>-</w:t>
            </w:r>
            <w:r w:rsidR="00BA1C77">
              <w:rPr>
                <w:rFonts w:ascii="Calibri" w:hAnsi="Calibri" w:cs="Calibri"/>
                <w:sz w:val="20"/>
                <w:szCs w:val="20"/>
                <w:lang w:val="hr-HR"/>
              </w:rPr>
              <w:t>31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BA1C77">
              <w:rPr>
                <w:rFonts w:ascii="Calibri" w:hAnsi="Calibri" w:cs="Calibri"/>
                <w:sz w:val="20"/>
                <w:szCs w:val="20"/>
                <w:lang w:val="hr-HR"/>
              </w:rPr>
              <w:t>svibnja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202</w:t>
            </w:r>
            <w:r w:rsidR="00BA1C77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., u istom obliku kao i sami testovi, a točno vrijeme i način održavanja popravaka bit će dogovoreni naknadno sa studentima.</w:t>
            </w:r>
          </w:p>
        </w:tc>
      </w:tr>
    </w:tbl>
    <w:p w14:paraId="05C5FB3E" w14:textId="77777777" w:rsidR="001236B6" w:rsidRPr="00207869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174432D9" w14:textId="77777777" w:rsidR="001236B6" w:rsidRPr="00207869" w:rsidRDefault="001236B6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207869" w14:paraId="1C092559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E5F6096" w14:textId="77777777" w:rsidR="001236B6" w:rsidRPr="00207869" w:rsidRDefault="001236B6" w:rsidP="007D43E5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5EA8C6B" w14:textId="77777777" w:rsidR="001236B6" w:rsidRPr="00207869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3219AA7B" w14:textId="77777777" w:rsidR="00512DE5" w:rsidRPr="00207869" w:rsidRDefault="009B3381" w:rsidP="00807014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207869" w14:paraId="375DF94B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DAE00B6" w14:textId="63ADA786" w:rsidR="00984099" w:rsidRPr="00207869" w:rsidRDefault="00C16A34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Nastavni sadržaji i sve obavijesti vezane uz kolegij nalaze se na </w:t>
            </w:r>
            <w:proofErr w:type="spellStart"/>
            <w:r w:rsidR="00DF1989"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Share</w:t>
            </w:r>
            <w:r w:rsidR="00CD3D24"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point</w:t>
            </w:r>
            <w:proofErr w:type="spellEnd"/>
            <w:r w:rsidR="0097309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iCs/>
                <w:sz w:val="20"/>
                <w:szCs w:val="20"/>
                <w:lang w:val="hr-HR"/>
              </w:rPr>
              <w:t xml:space="preserve">portalu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 internu komunikaciju </w:t>
            </w:r>
            <w:r w:rsidR="00DF1989" w:rsidRPr="00207869">
              <w:rPr>
                <w:rFonts w:ascii="Calibri" w:hAnsi="Calibri" w:cs="Calibri"/>
                <w:sz w:val="20"/>
                <w:szCs w:val="20"/>
                <w:lang w:val="hr-HR"/>
              </w:rPr>
              <w:t>Zavoda  za temeljnu i kliničku farmakologiju s toksikologijom te na sustavu za e-učenje Merlin na koji se prijavljuju pomoću svog AAI identiteta.</w:t>
            </w:r>
          </w:p>
        </w:tc>
      </w:tr>
    </w:tbl>
    <w:p w14:paraId="2B318E69" w14:textId="20AC3F91" w:rsidR="00C80C14" w:rsidRDefault="00C80C14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0B0F5C3F" w14:textId="77777777" w:rsidR="002E0C7D" w:rsidRPr="00207869" w:rsidRDefault="002E0C7D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273115A8" w14:textId="77777777" w:rsidR="0083497A" w:rsidRPr="00207869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21189AC3" w14:textId="69994B04" w:rsidR="005B13D7" w:rsidRPr="00207869" w:rsidRDefault="005B13D7" w:rsidP="005B13D7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SATNICA IZVOĐENJA NASTAVE (za akademsku 20</w:t>
      </w:r>
      <w:r w:rsidR="00CD3D24"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2</w:t>
      </w:r>
      <w:r w:rsidR="00EA5DC4">
        <w:rPr>
          <w:rFonts w:ascii="Calibri" w:hAnsi="Calibri" w:cs="Calibri"/>
          <w:b/>
          <w:color w:val="FF0000"/>
          <w:sz w:val="20"/>
          <w:szCs w:val="20"/>
          <w:lang w:val="hr-HR"/>
        </w:rPr>
        <w:t>3</w:t>
      </w:r>
      <w:r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./20</w:t>
      </w:r>
      <w:r w:rsidR="00CD3D24"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2</w:t>
      </w:r>
      <w:r w:rsidR="00EA5DC4">
        <w:rPr>
          <w:rFonts w:ascii="Calibri" w:hAnsi="Calibri" w:cs="Calibri"/>
          <w:b/>
          <w:color w:val="FF0000"/>
          <w:sz w:val="20"/>
          <w:szCs w:val="20"/>
          <w:lang w:val="hr-HR"/>
        </w:rPr>
        <w:t>4</w:t>
      </w:r>
      <w:r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. godinu)</w:t>
      </w:r>
    </w:p>
    <w:p w14:paraId="47F5DE51" w14:textId="77777777" w:rsidR="005B13D7" w:rsidRPr="00207869" w:rsidRDefault="005B13D7" w:rsidP="005B13D7">
      <w:pPr>
        <w:pStyle w:val="BlockText"/>
        <w:ind w:left="0"/>
        <w:jc w:val="left"/>
        <w:rPr>
          <w:rFonts w:ascii="Calibri" w:hAnsi="Calibri" w:cs="Calibri"/>
          <w:b/>
          <w:bCs/>
          <w:sz w:val="20"/>
          <w:szCs w:val="20"/>
          <w:lang w:val="hr-HR"/>
        </w:rPr>
      </w:pPr>
    </w:p>
    <w:tbl>
      <w:tblPr>
        <w:tblW w:w="100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84"/>
        <w:gridCol w:w="1769"/>
        <w:gridCol w:w="1687"/>
        <w:gridCol w:w="1714"/>
        <w:gridCol w:w="3252"/>
      </w:tblGrid>
      <w:tr w:rsidR="005B13D7" w:rsidRPr="00207869" w14:paraId="038C8E29" w14:textId="77777777" w:rsidTr="00DB07EC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pct5" w:color="auto" w:fill="auto"/>
          </w:tcPr>
          <w:p w14:paraId="3E5E9B19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Datum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pct5" w:color="auto" w:fill="auto"/>
          </w:tcPr>
          <w:p w14:paraId="4E70E779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Predavanja (vrijeme i mjesto)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pct5" w:color="auto" w:fill="auto"/>
          </w:tcPr>
          <w:p w14:paraId="5C6CDB2E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Seminari </w:t>
            </w: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1714" w:type="dxa"/>
            <w:tcBorders>
              <w:bottom w:val="single" w:sz="4" w:space="0" w:color="808080"/>
            </w:tcBorders>
            <w:shd w:val="pct5" w:color="auto" w:fill="auto"/>
          </w:tcPr>
          <w:p w14:paraId="572165D3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Vježbe </w:t>
            </w: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3252" w:type="dxa"/>
            <w:tcBorders>
              <w:bottom w:val="single" w:sz="4" w:space="0" w:color="808080"/>
            </w:tcBorders>
            <w:shd w:val="pct5" w:color="auto" w:fill="auto"/>
          </w:tcPr>
          <w:p w14:paraId="374C41FE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Nastavnik</w:t>
            </w:r>
          </w:p>
        </w:tc>
      </w:tr>
      <w:tr w:rsidR="00971B1B" w:rsidRPr="00207869" w14:paraId="299D96A9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236690D" w14:textId="1ADE8C77" w:rsidR="00971B1B" w:rsidRPr="00207869" w:rsidRDefault="006620BF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3C68ED5E" w14:textId="77777777" w:rsidR="00971B1B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2066FA3B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99A5D1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21F0E80F" w14:textId="77777777" w:rsidR="00971B1B" w:rsidRPr="00207869" w:rsidRDefault="00971B1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32035899" w14:textId="77777777" w:rsidR="00971B1B" w:rsidRPr="00207869" w:rsidRDefault="00971B1B" w:rsidP="00DB07EC">
            <w:pPr>
              <w:rPr>
                <w:rFonts w:asciiTheme="minorHAnsi" w:hAnsiTheme="minorHAnsi" w:cstheme="minorHAnsi"/>
                <w:color w:val="FF00FF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56AB48E" w14:textId="3122AFDA" w:rsidR="00971B1B" w:rsidRPr="00207869" w:rsidRDefault="00256639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5663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 w:rsidR="0066521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5663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</w:tc>
      </w:tr>
      <w:tr w:rsidR="00410A25" w:rsidRPr="00207869" w14:paraId="7C0DFB6B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DA99A87" w14:textId="2FE94F91" w:rsidR="00410A25" w:rsidRPr="00207869" w:rsidRDefault="00A7782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0751B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0751B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0E99EB5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78B10E81" w14:textId="77777777" w:rsidR="009568D5" w:rsidRDefault="009568D5" w:rsidP="00DB07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 w:eastAsia="hr-HR"/>
              </w:rPr>
            </w:pPr>
          </w:p>
          <w:p w14:paraId="6ED14C54" w14:textId="36FB3ABF" w:rsidR="00B270B3" w:rsidRPr="007B6194" w:rsidRDefault="009568D5" w:rsidP="00DB07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 w:eastAsia="hr-HR"/>
              </w:rPr>
            </w:pPr>
            <w:proofErr w:type="spellStart"/>
            <w:r w:rsidRPr="009568D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 w:eastAsia="hr-HR"/>
              </w:rPr>
              <w:t>Predavaona</w:t>
            </w:r>
            <w:proofErr w:type="spellEnd"/>
            <w:r w:rsidRPr="009568D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 w:eastAsia="hr-HR"/>
              </w:rPr>
              <w:t xml:space="preserve"> 6</w:t>
            </w:r>
          </w:p>
          <w:p w14:paraId="0B3E968F" w14:textId="262B8670" w:rsidR="00B270B3" w:rsidRPr="00207869" w:rsidRDefault="00B270B3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87" w:type="dxa"/>
            <w:shd w:val="clear" w:color="auto" w:fill="auto"/>
          </w:tcPr>
          <w:p w14:paraId="7B22A365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7AE3436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18239183" w14:textId="77777777" w:rsidR="0066521D" w:rsidRPr="00207869" w:rsidRDefault="0066521D" w:rsidP="006652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7B9E1EBC" w14:textId="7221DCE1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10A25" w:rsidRPr="00207869" w14:paraId="0D14C4D8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F733214" w14:textId="2312A83F" w:rsidR="00410A25" w:rsidRPr="00207869" w:rsidRDefault="0082047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19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41550CFF" w14:textId="77777777" w:rsidR="00410A25" w:rsidRPr="007B6194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76E06368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95285A5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0DDDBDF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0ECDA152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01B2928C" w14:textId="7D4DDCBB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 w:rsidR="0066521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3AACAA7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10A25" w:rsidRPr="00207869" w14:paraId="5EDB87EC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0D057A0" w14:textId="225388C1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82047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82047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03BE8812" w14:textId="77777777" w:rsidR="00410A25" w:rsidRPr="007B6194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3F76C03A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9B958EC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66952621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02E4BC6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80150DE" w14:textId="77777777" w:rsidR="0066521D" w:rsidRPr="00207869" w:rsidRDefault="0066521D" w:rsidP="006652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1C1B5012" w14:textId="2792061D" w:rsidR="00410A25" w:rsidRPr="00207869" w:rsidRDefault="00410A25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410A25" w:rsidRPr="00207869" w14:paraId="0F8E2B5F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6FA6139" w14:textId="11D68F1F" w:rsidR="00410A25" w:rsidRPr="00207869" w:rsidRDefault="0082047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6E707E2D" w14:textId="77777777" w:rsidR="00410A25" w:rsidRPr="007B6194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6CA58692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528838E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1E4BA373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56CA237B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5FC078E1" w14:textId="77777777" w:rsidR="0066521D" w:rsidRPr="00207869" w:rsidRDefault="0066521D" w:rsidP="006652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181C44F5" w14:textId="55880F51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10A25" w:rsidRPr="00207869" w14:paraId="7C511D01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5C22901C" w14:textId="430AC113" w:rsidR="00410A25" w:rsidRPr="00207869" w:rsidRDefault="0082047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34FF6FA5" w14:textId="77777777" w:rsidR="00410A25" w:rsidRPr="007B6194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466ACEE1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A8F6196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399F74C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35500CD3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372C77B1" w14:textId="77777777" w:rsidR="0066521D" w:rsidRPr="00207869" w:rsidRDefault="0066521D" w:rsidP="006652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5B08D145" w14:textId="75EA4380" w:rsidR="00410A25" w:rsidRPr="00207869" w:rsidRDefault="00410A25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410A25" w:rsidRPr="00207869" w14:paraId="10B55DC8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ED2A081" w14:textId="32E7B569" w:rsidR="00410A25" w:rsidRPr="00207869" w:rsidRDefault="00A7782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1</w:t>
            </w:r>
            <w:r w:rsidR="0082047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82047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0164597F" w14:textId="77777777" w:rsidR="00410A25" w:rsidRPr="007B6194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01CA0E72" w14:textId="77777777" w:rsidR="00A7782D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F98CC75" w14:textId="77777777" w:rsidR="00F323B6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63E88DD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6B9545F8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3E5C11A6" w14:textId="77777777" w:rsidR="0066521D" w:rsidRPr="00207869" w:rsidRDefault="0066521D" w:rsidP="006652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58AA1A07" w14:textId="3FF8943F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10A25" w:rsidRPr="00207869" w14:paraId="64DCAB80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8DB6FF7" w14:textId="164FC412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FB2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FB2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356313F3" w14:textId="77777777" w:rsidR="00410A25" w:rsidRPr="007B6194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3501141D" w14:textId="77777777" w:rsidR="00A7782D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56D7747" w14:textId="77777777" w:rsidR="00F323B6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538590FE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461854F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E7B90A6" w14:textId="77777777" w:rsidR="0066521D" w:rsidRPr="00207869" w:rsidRDefault="0066521D" w:rsidP="006652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2E7F4DE9" w14:textId="6D1DE232" w:rsidR="00410A25" w:rsidRPr="00207869" w:rsidRDefault="00410A25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410A25" w:rsidRPr="00207869" w14:paraId="1FE3D763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0AC2EC3" w14:textId="21EC0598" w:rsidR="00410A25" w:rsidRPr="00207869" w:rsidRDefault="00FB2FD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18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688A997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82E9E5C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F7E07D7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0FF8378" w14:textId="77777777" w:rsidR="00410A25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25636D8F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26ECE0E" w14:textId="7F7A3294" w:rsidR="00327BCC" w:rsidRPr="00207869" w:rsidRDefault="00624FCE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Nika Gržeta</w:t>
            </w:r>
            <w:r w:rsidR="00327BCC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mag.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bioteh</w:t>
            </w:r>
            <w:proofErr w:type="spellEnd"/>
            <w:r w:rsidR="00EE1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EE1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med.</w:t>
            </w:r>
          </w:p>
        </w:tc>
      </w:tr>
      <w:tr w:rsidR="00F323B6" w:rsidRPr="00207869" w14:paraId="0C24AA3E" w14:textId="77777777" w:rsidTr="00DB07EC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clear" w:color="auto" w:fill="auto"/>
          </w:tcPr>
          <w:p w14:paraId="02CAC4D0" w14:textId="4AA9D432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FB2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FB2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clear" w:color="auto" w:fill="auto"/>
          </w:tcPr>
          <w:p w14:paraId="37ED1CDB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tcBorders>
              <w:bottom w:val="single" w:sz="4" w:space="0" w:color="808080"/>
            </w:tcBorders>
            <w:shd w:val="clear" w:color="auto" w:fill="auto"/>
          </w:tcPr>
          <w:p w14:paraId="1E78C75E" w14:textId="1800B95E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</w:t>
            </w:r>
            <w:r w:rsidR="00973096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(8:15-1</w:t>
            </w:r>
            <w:r w:rsidR="00BF634B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A852868" w14:textId="77777777" w:rsidR="00A7782D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16BEDA9" w14:textId="77777777" w:rsidR="00F323B6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tcBorders>
              <w:bottom w:val="single" w:sz="4" w:space="0" w:color="808080"/>
            </w:tcBorders>
            <w:shd w:val="clear" w:color="auto" w:fill="auto"/>
          </w:tcPr>
          <w:p w14:paraId="248911A3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tcBorders>
              <w:bottom w:val="single" w:sz="4" w:space="0" w:color="808080"/>
            </w:tcBorders>
            <w:shd w:val="clear" w:color="auto" w:fill="auto"/>
          </w:tcPr>
          <w:p w14:paraId="40D9D4C9" w14:textId="7AC3FBCD" w:rsidR="002A0B57" w:rsidRPr="00207869" w:rsidRDefault="00EE1CFF" w:rsidP="002A0B57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Ena Vrček, mag.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pharm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  <w:p w14:paraId="39765842" w14:textId="2D8E22CD" w:rsidR="00F323B6" w:rsidRPr="00207869" w:rsidRDefault="00F323B6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F323B6" w:rsidRPr="00207869" w14:paraId="09159E3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5A3C89D" w14:textId="6495B30C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FB2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FB2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275422CD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1C7DE60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4BAAE2CA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5CB3805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10311374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5C3F187" w14:textId="71EFF45A" w:rsidR="00CD3D24" w:rsidRPr="00207869" w:rsidRDefault="00EE1CFF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Sandra Knežević, dr. med.</w:t>
            </w:r>
          </w:p>
        </w:tc>
      </w:tr>
      <w:tr w:rsidR="00F323B6" w:rsidRPr="00207869" w14:paraId="48F06CBB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D63531D" w14:textId="0954773D" w:rsidR="00F323B6" w:rsidRPr="00207869" w:rsidRDefault="00FB2FD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06783CAE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4DBC9B14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57962D20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74DFCD1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45E8AFBF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0AAB19B7" w14:textId="7FA8321A" w:rsidR="00381544" w:rsidRPr="00207869" w:rsidRDefault="00381544" w:rsidP="0038154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 w:rsidR="00652D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6106477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207869" w14:paraId="737672D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A882D3B" w14:textId="13E79606" w:rsidR="00F323B6" w:rsidRPr="00207869" w:rsidRDefault="00FB2FD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.5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653C0E77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4C03E9DC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4D2F75B6" w14:textId="77777777" w:rsidR="00A7782D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0C3AA53" w14:textId="77777777" w:rsidR="00F323B6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5D69F882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56F8292" w14:textId="2D2DF985" w:rsidR="00381544" w:rsidRPr="00207869" w:rsidRDefault="00381544" w:rsidP="0038154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</w:t>
            </w:r>
            <w:r w:rsidR="00652D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Car</w:t>
            </w:r>
          </w:p>
          <w:p w14:paraId="61F0F1BB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207869" w14:paraId="5A2A209A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2208F21" w14:textId="0A37D801" w:rsidR="00F323B6" w:rsidRPr="00207869" w:rsidRDefault="00FB2FD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.5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561FA38D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6D24BC4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7B619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CB15521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A1B8BEF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6DD42B7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29BB2E0" w14:textId="4E2277A6" w:rsidR="00DF48CA" w:rsidRPr="00207869" w:rsidRDefault="00DF48CA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Iva Kristić, mag. sanit. ing.</w:t>
            </w:r>
          </w:p>
        </w:tc>
      </w:tr>
      <w:tr w:rsidR="00F323B6" w:rsidRPr="00207869" w14:paraId="25BEA698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D319D12" w14:textId="73BDC1DD" w:rsidR="00F323B6" w:rsidRPr="00207869" w:rsidRDefault="00FB2FD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13638F5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D7DA662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0864F1E5" w14:textId="77777777" w:rsidR="00A7782D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3A08E13" w14:textId="77777777" w:rsidR="00F323B6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6177250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6FBFA234" w14:textId="309E8236" w:rsidR="00F323B6" w:rsidRPr="00207869" w:rsidRDefault="0046356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Iva Kristić, mag. sanit. ing.</w:t>
            </w:r>
          </w:p>
        </w:tc>
      </w:tr>
      <w:tr w:rsidR="00F323B6" w:rsidRPr="00207869" w14:paraId="3E381359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E09D8E2" w14:textId="18DBF13F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3E16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.5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3E16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7AD20A6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6E5E303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C42E2F4" w14:textId="77777777" w:rsidR="00A7782D" w:rsidRPr="007B6194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D095D97" w14:textId="0F8BB50C" w:rsidR="002A0B57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7B585779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5C9B7D32" w14:textId="77777777" w:rsidR="009B6035" w:rsidRPr="00207869" w:rsidRDefault="009B6035" w:rsidP="009B6035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Dr. sc. Tamara Janković, dipl. sanit. ing.</w:t>
            </w:r>
          </w:p>
          <w:p w14:paraId="0C8750EC" w14:textId="1BF3F749" w:rsidR="009B6035" w:rsidRPr="00207869" w:rsidRDefault="009B603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207869" w14:paraId="6C99C731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84B1E38" w14:textId="70E16588" w:rsidR="00F323B6" w:rsidRPr="00207869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3E16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FB2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44D2F88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C941C24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09088286" w14:textId="77777777" w:rsidR="00F323B6" w:rsidRPr="007B6194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lastRenderedPageBreak/>
              <w:t xml:space="preserve">Zavod za temeljnu i kliničku farmakologiju </w:t>
            </w:r>
          </w:p>
          <w:p w14:paraId="26840275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315F09B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6036DD8" w14:textId="57A0F2FE" w:rsidR="00F323B6" w:rsidRPr="00207869" w:rsidRDefault="00EE1CFF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Nika Gržeta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mag.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bioteh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u med.</w:t>
            </w:r>
          </w:p>
        </w:tc>
      </w:tr>
      <w:tr w:rsidR="00A7782D" w:rsidRPr="00207869" w14:paraId="7C4C48FD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627B86D4" w14:textId="48A7A412" w:rsidR="00A7782D" w:rsidRPr="00207869" w:rsidRDefault="00BF634B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223E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.5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223E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37F05FB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B959EA5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55F3D045" w14:textId="77777777" w:rsidR="00A7782D" w:rsidRPr="00207869" w:rsidRDefault="00BF634B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C8702D8" w14:textId="77777777" w:rsidR="004E31DC" w:rsidRPr="007B6194" w:rsidRDefault="004E31DC" w:rsidP="004E31D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1A32B7B" w14:textId="0284E281" w:rsidR="00A7782D" w:rsidRPr="00207869" w:rsidRDefault="004E31DC" w:rsidP="004E31D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 toksikologijom</w:t>
            </w:r>
          </w:p>
        </w:tc>
        <w:tc>
          <w:tcPr>
            <w:tcW w:w="3252" w:type="dxa"/>
            <w:shd w:val="clear" w:color="auto" w:fill="auto"/>
          </w:tcPr>
          <w:p w14:paraId="3BC7CC2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Dr. sc. Tamara Janković, dipl. sanit. ing.</w:t>
            </w:r>
          </w:p>
          <w:p w14:paraId="7AF0A08D" w14:textId="77777777" w:rsidR="00A7782D" w:rsidRPr="00207869" w:rsidRDefault="00A7782D" w:rsidP="00A7782D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A7782D" w:rsidRPr="00207869" w14:paraId="3D6957D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5991736" w14:textId="144F1EF9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223E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</w:t>
            </w:r>
            <w:r w:rsidR="00223E2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14:paraId="2D1C2B7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CBD2F15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70C3F5D8" w14:textId="6ED3FE06" w:rsidR="00A7782D" w:rsidRPr="00207869" w:rsidRDefault="00BF634B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V2</w:t>
            </w:r>
            <w:r w:rsidR="009730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(8:15-11:00)</w:t>
            </w:r>
          </w:p>
          <w:p w14:paraId="33DFA2DC" w14:textId="397A1BBD" w:rsidR="00A7782D" w:rsidRPr="00207869" w:rsidRDefault="004E31DC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Informatička učionica</w:t>
            </w:r>
          </w:p>
        </w:tc>
        <w:tc>
          <w:tcPr>
            <w:tcW w:w="3252" w:type="dxa"/>
            <w:shd w:val="clear" w:color="auto" w:fill="auto"/>
          </w:tcPr>
          <w:p w14:paraId="2577AA7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Dr. sc. Tamara Janković, dipl. sanit. ing.</w:t>
            </w:r>
          </w:p>
          <w:p w14:paraId="7AD44BB5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D5B9AF7" w14:textId="77777777" w:rsidR="005B13D7" w:rsidRPr="00207869" w:rsidRDefault="005B13D7" w:rsidP="005B13D7">
      <w:pPr>
        <w:pStyle w:val="BlockText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0E54B0A1" w14:textId="77777777" w:rsidR="005B13D7" w:rsidRPr="00207869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Popis predavanja</w:t>
      </w:r>
      <w:r w:rsidR="00C80C14" w:rsidRPr="00207869">
        <w:rPr>
          <w:rFonts w:ascii="Calibri" w:hAnsi="Calibri" w:cs="Calibri"/>
          <w:b/>
          <w:sz w:val="20"/>
          <w:szCs w:val="20"/>
          <w:lang w:val="hr-HR"/>
        </w:rPr>
        <w:t xml:space="preserve"> i</w:t>
      </w:r>
      <w:r w:rsidRPr="00207869">
        <w:rPr>
          <w:rFonts w:ascii="Calibri" w:hAnsi="Calibri" w:cs="Calibri"/>
          <w:b/>
          <w:sz w:val="20"/>
          <w:szCs w:val="20"/>
          <w:lang w:val="hr-HR"/>
        </w:rPr>
        <w:t xml:space="preserve"> seminara:</w:t>
      </w:r>
    </w:p>
    <w:p w14:paraId="6208BB1F" w14:textId="77777777" w:rsidR="005B13D7" w:rsidRPr="00207869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5B13D7" w:rsidRPr="00207869" w14:paraId="1927AD75" w14:textId="77777777" w:rsidTr="00F63D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FF7BAB" w14:textId="77777777" w:rsidR="005B13D7" w:rsidRPr="00207869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B37F5B5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DA0F80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9166F5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DB07EC" w:rsidRPr="00207869" w14:paraId="1DD6F4D9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61CED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06526" w14:textId="77777777" w:rsidR="00A236F6" w:rsidRPr="00207869" w:rsidRDefault="00381544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Uvod u toksikologiju;</w:t>
            </w:r>
          </w:p>
          <w:p w14:paraId="57352D5B" w14:textId="77777777" w:rsidR="00381544" w:rsidRPr="00207869" w:rsidRDefault="00381544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Podjela i značaj toksikologije</w:t>
            </w:r>
          </w:p>
          <w:p w14:paraId="2E19F1FF" w14:textId="77777777" w:rsidR="00DB07EC" w:rsidRPr="00207869" w:rsidRDefault="00DB07E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599BB" w14:textId="77777777" w:rsidR="00DB07EC" w:rsidRPr="00207869" w:rsidRDefault="00A236F6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76976" w14:textId="77777777" w:rsidR="00737EB8" w:rsidRPr="007B6194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5259521" w14:textId="77777777" w:rsidR="00DB07EC" w:rsidRPr="007B6194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220CB97A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E4D9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745A0" w14:textId="77777777" w:rsidR="00DB07EC" w:rsidRPr="00207869" w:rsidRDefault="00381544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Toksikokinetika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apsorpcija, distribucija, metabolizam i eliminacija otrova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70170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E9464" w14:textId="77777777" w:rsidR="00B270B3" w:rsidRDefault="007B6194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7B6194">
              <w:rPr>
                <w:rFonts w:ascii="Calibri" w:hAnsi="Calibri" w:cs="Calibri"/>
                <w:sz w:val="20"/>
                <w:szCs w:val="20"/>
                <w:lang w:val="hr-HR"/>
              </w:rPr>
              <w:t>Pedavaona</w:t>
            </w:r>
            <w:proofErr w:type="spellEnd"/>
            <w:r w:rsidRPr="007B619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6</w:t>
            </w:r>
          </w:p>
          <w:p w14:paraId="5DDF99C3" w14:textId="77777777" w:rsidR="007B6194" w:rsidRDefault="007B6194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6216DC42" w14:textId="563F8509" w:rsidR="007B6194" w:rsidRPr="007B6194" w:rsidRDefault="007B6194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DB07EC" w:rsidRPr="00207869" w14:paraId="0A8F4DF1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44D91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33C01" w14:textId="0DE46FFB" w:rsidR="00542FDD" w:rsidRDefault="00542FDD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542F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Toksikodinamika</w:t>
            </w:r>
            <w:proofErr w:type="spellEnd"/>
            <w:r w:rsidRPr="00542F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mehanizmi toksičnosti tvari</w:t>
            </w:r>
          </w:p>
          <w:p w14:paraId="3A90A21F" w14:textId="7FD6789C" w:rsidR="00DB07EC" w:rsidRPr="00207869" w:rsidRDefault="00DB07E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84F0F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DDD73" w14:textId="77777777" w:rsidR="00737EB8" w:rsidRPr="007B6194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85546F0" w14:textId="77777777" w:rsidR="00DB07EC" w:rsidRPr="007B6194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16CA3EAB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DC77B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A849D" w14:textId="0E4F4B74" w:rsidR="00DB07EC" w:rsidRPr="00207869" w:rsidRDefault="00542FDD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Tipovi izloženosti otrovima i vrste odgovora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E4716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9FED9" w14:textId="77777777" w:rsidR="00737EB8" w:rsidRPr="007B6194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B8274DE" w14:textId="77777777" w:rsidR="00DB07EC" w:rsidRPr="007B6194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5D67CE93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2EDAD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4F199" w14:textId="5D1D1037" w:rsidR="00DB07EC" w:rsidRPr="00207869" w:rsidRDefault="000337C7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0337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Nekliničko</w:t>
            </w:r>
            <w:proofErr w:type="spellEnd"/>
            <w:r w:rsidRPr="000337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testiranje lijekova: akutna i kronična toksičnost, reproduktivna toksičnost,  </w:t>
            </w:r>
            <w:proofErr w:type="spellStart"/>
            <w:r w:rsidRPr="000337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mutageneza</w:t>
            </w:r>
            <w:proofErr w:type="spellEnd"/>
            <w:r w:rsidRPr="000337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0337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karcinogeneza</w:t>
            </w:r>
            <w:proofErr w:type="spellEnd"/>
            <w:r w:rsidRPr="000337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lokalna podnošljivost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535B3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9F9EF" w14:textId="77777777" w:rsidR="00737EB8" w:rsidRPr="007B6194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105FA81" w14:textId="77777777" w:rsidR="00DB07EC" w:rsidRPr="007B6194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6D443A26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C194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B50D0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Testovi toksičnosti i procjene rizika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813C1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AA4F0" w14:textId="77777777" w:rsidR="00737EB8" w:rsidRPr="007B6194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9264C27" w14:textId="77777777" w:rsidR="00DB07EC" w:rsidRPr="007B6194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175C8516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7B6AB" w14:textId="77777777" w:rsidR="00DB07EC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7A97F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Osobitosti trovanja i liječenja trovanja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E2BDA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5254F" w14:textId="77777777" w:rsidR="00737EB8" w:rsidRPr="007B6194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Zavod za temeljnu i kliničku farmakologiju </w:t>
            </w:r>
          </w:p>
          <w:p w14:paraId="35F51CBE" w14:textId="77777777" w:rsidR="00DB07EC" w:rsidRPr="007B6194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="Calibri" w:hAnsi="Calibri" w:cs="Calibri"/>
                <w:sz w:val="20"/>
                <w:szCs w:val="20"/>
                <w:lang w:val="hr-HR"/>
              </w:rPr>
              <w:t>s toksikologijom</w:t>
            </w:r>
          </w:p>
        </w:tc>
      </w:tr>
      <w:tr w:rsidR="00DB07EC" w:rsidRPr="00207869" w14:paraId="077A48A7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A4B39" w14:textId="77777777" w:rsidR="00DB07EC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4A652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Osobitosti trovanja u trudnica, djece i starijih osoba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D5EC0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89FC1" w14:textId="77777777" w:rsidR="00381544" w:rsidRPr="007B6194" w:rsidRDefault="00381544" w:rsidP="0038154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Zavod za temeljnu i kliničku farmakologiju </w:t>
            </w:r>
          </w:p>
          <w:p w14:paraId="3B8564D6" w14:textId="77777777" w:rsidR="00737EB8" w:rsidRPr="007B6194" w:rsidRDefault="00381544" w:rsidP="0038154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="Calibri" w:hAnsi="Calibri" w:cs="Calibri"/>
                <w:sz w:val="20"/>
                <w:szCs w:val="20"/>
                <w:lang w:val="hr-HR"/>
              </w:rPr>
              <w:t>s toksikologijom</w:t>
            </w:r>
          </w:p>
        </w:tc>
      </w:tr>
      <w:tr w:rsidR="005B13D7" w:rsidRPr="00207869" w14:paraId="3165915A" w14:textId="77777777" w:rsidTr="00F63D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41D926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3486A1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01DCA31" w14:textId="77777777" w:rsidR="005B13D7" w:rsidRPr="00207869" w:rsidRDefault="00381544" w:rsidP="0012248D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16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E2B5CF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0860AA8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51538428" w14:textId="77777777" w:rsidR="005B13D7" w:rsidRPr="00207869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5B13D7" w:rsidRPr="00207869" w14:paraId="6AA8FF4C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01C40F" w14:textId="77777777" w:rsidR="005B13D7" w:rsidRPr="00207869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ACB188A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793C9A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16AAF2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737EB8" w:rsidRPr="00207869" w14:paraId="471B539A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6EA56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8DC61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– uvod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B47E2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19059" w14:textId="77777777" w:rsidR="003A6B6A" w:rsidRPr="007B6194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2EBB213" w14:textId="77777777" w:rsidR="00737EB8" w:rsidRPr="007B6194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4AF83429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30678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C2D65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Toksikokinetika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642A6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7B4AB" w14:textId="77777777" w:rsidR="0082342C" w:rsidRPr="007B6194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E7AE034" w14:textId="77777777" w:rsidR="00737EB8" w:rsidRPr="007B6194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5159905A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5D9BE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F277D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Dijagnostički i terapijski postupci u akutnom otrovanju; Osobitosti intenzivnog liječenja otrovanog bolesnika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ABB9A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BF0F0" w14:textId="77777777" w:rsidR="003A6B6A" w:rsidRPr="007B6194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F6719E8" w14:textId="77777777" w:rsidR="00737EB8" w:rsidRPr="007B6194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2FE9BEE2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3B9F0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125F2" w14:textId="77777777" w:rsidR="0088117D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Genetska toksikologija 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99533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D88A9" w14:textId="77777777" w:rsidR="003A6B6A" w:rsidRPr="007B6194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FF0B201" w14:textId="77777777" w:rsidR="00737EB8" w:rsidRPr="007B6194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435211F4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CBADF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9BD86" w14:textId="77777777" w:rsidR="0088117D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Genetska toksikologija II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8A695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B60FF" w14:textId="77777777" w:rsidR="0082342C" w:rsidRPr="007B6194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344D953" w14:textId="77777777" w:rsidR="00737EB8" w:rsidRPr="007B6194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662E3206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79E73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6F53" w14:textId="77777777" w:rsidR="0088117D" w:rsidRPr="00207869" w:rsidRDefault="0082342C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Ekotoksikologija</w:t>
            </w:r>
            <w:proofErr w:type="spellEnd"/>
          </w:p>
          <w:p w14:paraId="0479C349" w14:textId="77777777" w:rsidR="0088117D" w:rsidRPr="00207869" w:rsidRDefault="0088117D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56C02" w14:textId="77777777" w:rsidR="00737EB8" w:rsidRPr="00207869" w:rsidRDefault="0082342C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D742C" w14:textId="77777777" w:rsidR="003A6B6A" w:rsidRPr="007B6194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E6EA7F5" w14:textId="77777777" w:rsidR="00737EB8" w:rsidRPr="007B6194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1B2D413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21016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FD1CB" w14:textId="77777777" w:rsidR="0088117D" w:rsidRPr="00207869" w:rsidRDefault="0082342C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Nesreće s kemikalijama</w:t>
            </w:r>
          </w:p>
          <w:p w14:paraId="36D01C42" w14:textId="77777777" w:rsidR="0088117D" w:rsidRPr="00207869" w:rsidRDefault="0088117D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8DCB3" w14:textId="77777777" w:rsidR="00737EB8" w:rsidRPr="00207869" w:rsidRDefault="0082342C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7BF3A" w14:textId="77777777" w:rsidR="0082342C" w:rsidRPr="007B6194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2900C1A" w14:textId="77777777" w:rsidR="00737EB8" w:rsidRPr="007B6194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0A2F304B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B0FD4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B0ABD" w14:textId="77777777" w:rsidR="0088117D" w:rsidRPr="00207869" w:rsidRDefault="0082342C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Informatika u toksikologiji</w:t>
            </w:r>
          </w:p>
          <w:p w14:paraId="77A7BC83" w14:textId="77777777" w:rsidR="00737EB8" w:rsidRPr="00207869" w:rsidRDefault="00737EB8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7F535" w14:textId="77777777" w:rsidR="00737EB8" w:rsidRPr="00207869" w:rsidRDefault="0082342C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6E9C3" w14:textId="77777777" w:rsidR="0082342C" w:rsidRPr="007B6194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1C2D340" w14:textId="77777777" w:rsidR="00737EB8" w:rsidRPr="007B6194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1126443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C7241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80C9E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Forenzička toksikologija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8DD8A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7F6A8" w14:textId="77777777" w:rsidR="003A6B6A" w:rsidRPr="007B6194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04E913A" w14:textId="77777777" w:rsidR="00737EB8" w:rsidRPr="007B6194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5B13D7" w:rsidRPr="00207869" w14:paraId="6051679B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132230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132DC1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CF264C" w14:textId="77777777" w:rsidR="005B13D7" w:rsidRPr="00207869" w:rsidRDefault="00560C36" w:rsidP="00F63D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24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FCFBB8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E009421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82342C" w:rsidRPr="00207869" w14:paraId="12DEC0FE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3F8243" w14:textId="77777777" w:rsidR="0082342C" w:rsidRPr="00207869" w:rsidRDefault="0082342C" w:rsidP="00FC741D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A754119" w14:textId="00764F50" w:rsidR="0082342C" w:rsidRPr="00207869" w:rsidRDefault="0082342C" w:rsidP="00FC741D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VJEŽBE (</w:t>
            </w:r>
            <w:r w:rsidR="003615DC"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tema vježbe</w:t>
            </w: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4F201E" w14:textId="77777777" w:rsidR="0082342C" w:rsidRPr="00207869" w:rsidRDefault="0082342C" w:rsidP="00FC741D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8FF60B" w14:textId="172C1E77" w:rsidR="0082342C" w:rsidRPr="00207869" w:rsidRDefault="003246BA" w:rsidP="00FC741D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82342C" w:rsidRPr="00207869" w14:paraId="45CD96C1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E7E35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C77FF" w14:textId="145BA8A7" w:rsidR="0082342C" w:rsidRPr="00207869" w:rsidRDefault="004E31D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Uzorak i analiza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422B7" w14:textId="77777777" w:rsidR="0082342C" w:rsidRPr="00207869" w:rsidRDefault="0082342C" w:rsidP="0082342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9F58" w14:textId="77777777" w:rsidR="0082342C" w:rsidRPr="007B6194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C41DD25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B6194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82342C" w:rsidRPr="00207869" w14:paraId="11C42CFC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D3A6F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7A9BD" w14:textId="1B61C345" w:rsidR="0082342C" w:rsidRPr="00207869" w:rsidRDefault="004E31D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Informatika u toksikologiji – toksikološke baze podataka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78369" w14:textId="77777777" w:rsidR="0082342C" w:rsidRPr="00207869" w:rsidRDefault="0082342C" w:rsidP="0082342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B86ED" w14:textId="5C26CA16" w:rsidR="00C10A34" w:rsidRPr="00207869" w:rsidRDefault="00C10A34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DF6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 w:eastAsia="hr-HR"/>
              </w:rPr>
              <w:t>Informatička učionica</w:t>
            </w:r>
          </w:p>
        </w:tc>
      </w:tr>
      <w:tr w:rsidR="0082342C" w:rsidRPr="00207869" w14:paraId="0DE883F0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FE6ED4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EE8619" w14:textId="06E9A8A6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</w:t>
            </w:r>
            <w:r w:rsidR="002A0B5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9B20B6" w14:textId="77777777" w:rsidR="0082342C" w:rsidRPr="00207869" w:rsidRDefault="00560C36" w:rsidP="0082342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429F5C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C1A36CD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04B51B30" w14:textId="77777777" w:rsidR="0082342C" w:rsidRPr="00207869" w:rsidRDefault="0082342C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B13D7" w:rsidRPr="00207869" w14:paraId="6B5553FB" w14:textId="77777777" w:rsidTr="00F63D5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E0A335" w14:textId="77777777" w:rsidR="005B13D7" w:rsidRPr="00207869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EE1E684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ISPITNI TERMINI (završni ispit)</w:t>
            </w:r>
          </w:p>
        </w:tc>
      </w:tr>
      <w:tr w:rsidR="005B13D7" w:rsidRPr="00207869" w14:paraId="7A09C826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3B21A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7B45" w14:textId="45B27CA4" w:rsidR="005B13D7" w:rsidRPr="00207869" w:rsidRDefault="003C4DFC" w:rsidP="00F63D57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 </w:t>
            </w:r>
            <w:r w:rsidR="00560C36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lipnja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202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5B13D7" w:rsidRPr="00207869" w14:paraId="46076ABA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061F3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A82C3" w14:textId="2FE7EC89" w:rsidR="005B13D7" w:rsidRPr="00207869" w:rsidRDefault="00560C36" w:rsidP="00F63D57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 w:rsidR="003C4DF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lipnja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202</w:t>
            </w:r>
            <w:r w:rsidR="003C4DF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5B13D7" w:rsidRPr="00207869" w14:paraId="6E2D4C4E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62D06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A15A6" w14:textId="7D3EFDE9" w:rsidR="005B13D7" w:rsidRPr="00207869" w:rsidRDefault="003C4DFC" w:rsidP="00F63D57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srpnja 202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5B13D7" w:rsidRPr="00207869" w14:paraId="3ABDE32D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545B8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08793" w14:textId="7AECBD89" w:rsidR="005B13D7" w:rsidRPr="00207869" w:rsidRDefault="003C4DFC" w:rsidP="003115D2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</w:t>
            </w:r>
            <w:r w:rsidR="00A74522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rujna 202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</w:t>
            </w:r>
            <w:r w:rsidR="00A74522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</w:p>
        </w:tc>
      </w:tr>
    </w:tbl>
    <w:p w14:paraId="21C107D9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0556C2CA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6C7B6046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542953AA" w14:textId="77777777" w:rsidR="00C16A34" w:rsidRPr="00207869" w:rsidRDefault="00C16A34" w:rsidP="00AD74FF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sectPr w:rsidR="00C16A34" w:rsidRPr="00207869" w:rsidSect="0059372A">
      <w:footerReference w:type="default" r:id="rId12"/>
      <w:pgSz w:w="11906" w:h="16838" w:code="9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BA4C" w14:textId="77777777" w:rsidR="00181DD6" w:rsidRDefault="00181DD6" w:rsidP="00B124ED">
      <w:r>
        <w:separator/>
      </w:r>
    </w:p>
  </w:endnote>
  <w:endnote w:type="continuationSeparator" w:id="0">
    <w:p w14:paraId="587E0234" w14:textId="77777777" w:rsidR="00181DD6" w:rsidRDefault="00181DD6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7494" w14:textId="77777777" w:rsidR="00181DD6" w:rsidRPr="00B124ED" w:rsidRDefault="00181DD6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B124ED">
      <w:rPr>
        <w:rFonts w:ascii="Arial" w:hAnsi="Arial" w:cs="Arial"/>
        <w:sz w:val="20"/>
        <w:szCs w:val="20"/>
      </w:rPr>
      <w:fldChar w:fldCharType="end"/>
    </w:r>
  </w:p>
  <w:p w14:paraId="50914155" w14:textId="77777777" w:rsidR="00181DD6" w:rsidRDefault="0018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924C" w14:textId="77777777" w:rsidR="00181DD6" w:rsidRDefault="00181DD6" w:rsidP="00B124ED">
      <w:r>
        <w:separator/>
      </w:r>
    </w:p>
  </w:footnote>
  <w:footnote w:type="continuationSeparator" w:id="0">
    <w:p w14:paraId="78AE7516" w14:textId="77777777" w:rsidR="00181DD6" w:rsidRDefault="00181DD6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0FA"/>
    <w:multiLevelType w:val="hybridMultilevel"/>
    <w:tmpl w:val="B9440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84D"/>
    <w:multiLevelType w:val="hybridMultilevel"/>
    <w:tmpl w:val="3E2A625A"/>
    <w:lvl w:ilvl="0" w:tplc="AB602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C72"/>
    <w:multiLevelType w:val="singleLevel"/>
    <w:tmpl w:val="1B94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8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950"/>
    <w:multiLevelType w:val="hybridMultilevel"/>
    <w:tmpl w:val="02086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528D"/>
    <w:multiLevelType w:val="hybridMultilevel"/>
    <w:tmpl w:val="85E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930"/>
    <w:multiLevelType w:val="hybridMultilevel"/>
    <w:tmpl w:val="47748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8623D"/>
    <w:multiLevelType w:val="hybridMultilevel"/>
    <w:tmpl w:val="0A80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441F8"/>
    <w:multiLevelType w:val="hybridMultilevel"/>
    <w:tmpl w:val="0728C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A9E"/>
    <w:multiLevelType w:val="hybridMultilevel"/>
    <w:tmpl w:val="65689F18"/>
    <w:lvl w:ilvl="0" w:tplc="B8BA2F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145FE"/>
    <w:multiLevelType w:val="hybridMultilevel"/>
    <w:tmpl w:val="1FA8CF52"/>
    <w:lvl w:ilvl="0" w:tplc="F4AC0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109"/>
    <w:multiLevelType w:val="hybridMultilevel"/>
    <w:tmpl w:val="1D00F406"/>
    <w:lvl w:ilvl="0" w:tplc="DEB8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B48F2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DF55447"/>
    <w:multiLevelType w:val="hybridMultilevel"/>
    <w:tmpl w:val="D79AE4C0"/>
    <w:lvl w:ilvl="0" w:tplc="33F461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70DEC"/>
    <w:multiLevelType w:val="multilevel"/>
    <w:tmpl w:val="33CC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D95"/>
    <w:multiLevelType w:val="hybridMultilevel"/>
    <w:tmpl w:val="584E0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3437"/>
    <w:multiLevelType w:val="hybridMultilevel"/>
    <w:tmpl w:val="D5165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1642"/>
    <w:multiLevelType w:val="hybridMultilevel"/>
    <w:tmpl w:val="20141A76"/>
    <w:lvl w:ilvl="0" w:tplc="03D8E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70B8C"/>
    <w:multiLevelType w:val="hybridMultilevel"/>
    <w:tmpl w:val="3320E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4911"/>
    <w:multiLevelType w:val="hybridMultilevel"/>
    <w:tmpl w:val="2AC414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B04DB"/>
    <w:multiLevelType w:val="hybridMultilevel"/>
    <w:tmpl w:val="0B0AF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399D"/>
    <w:multiLevelType w:val="hybridMultilevel"/>
    <w:tmpl w:val="236A1C64"/>
    <w:lvl w:ilvl="0" w:tplc="213C5D8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55902">
    <w:abstractNumId w:val="29"/>
  </w:num>
  <w:num w:numId="2" w16cid:durableId="1565489665">
    <w:abstractNumId w:val="36"/>
  </w:num>
  <w:num w:numId="3" w16cid:durableId="1315064831">
    <w:abstractNumId w:val="22"/>
  </w:num>
  <w:num w:numId="4" w16cid:durableId="61604795">
    <w:abstractNumId w:val="13"/>
  </w:num>
  <w:num w:numId="5" w16cid:durableId="111677589">
    <w:abstractNumId w:val="0"/>
  </w:num>
  <w:num w:numId="6" w16cid:durableId="1013458763">
    <w:abstractNumId w:val="1"/>
  </w:num>
  <w:num w:numId="7" w16cid:durableId="1731729418">
    <w:abstractNumId w:val="20"/>
  </w:num>
  <w:num w:numId="8" w16cid:durableId="973483705">
    <w:abstractNumId w:val="9"/>
  </w:num>
  <w:num w:numId="9" w16cid:durableId="2067487249">
    <w:abstractNumId w:val="6"/>
  </w:num>
  <w:num w:numId="10" w16cid:durableId="950553981">
    <w:abstractNumId w:val="3"/>
  </w:num>
  <w:num w:numId="11" w16cid:durableId="1255699300">
    <w:abstractNumId w:val="37"/>
  </w:num>
  <w:num w:numId="12" w16cid:durableId="242615325">
    <w:abstractNumId w:val="16"/>
  </w:num>
  <w:num w:numId="13" w16cid:durableId="558514253">
    <w:abstractNumId w:val="28"/>
  </w:num>
  <w:num w:numId="14" w16cid:durableId="1132021695">
    <w:abstractNumId w:val="8"/>
  </w:num>
  <w:num w:numId="15" w16cid:durableId="274093226">
    <w:abstractNumId w:val="2"/>
  </w:num>
  <w:num w:numId="16" w16cid:durableId="45296801">
    <w:abstractNumId w:val="21"/>
  </w:num>
  <w:num w:numId="17" w16cid:durableId="19469638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9570065">
    <w:abstractNumId w:val="24"/>
  </w:num>
  <w:num w:numId="19" w16cid:durableId="1357728689">
    <w:abstractNumId w:val="15"/>
  </w:num>
  <w:num w:numId="20" w16cid:durableId="979383436">
    <w:abstractNumId w:val="17"/>
  </w:num>
  <w:num w:numId="21" w16cid:durableId="2094546770">
    <w:abstractNumId w:val="12"/>
  </w:num>
  <w:num w:numId="22" w16cid:durableId="1176534105">
    <w:abstractNumId w:val="30"/>
  </w:num>
  <w:num w:numId="23" w16cid:durableId="736250383">
    <w:abstractNumId w:val="4"/>
  </w:num>
  <w:num w:numId="24" w16cid:durableId="336153880">
    <w:abstractNumId w:val="18"/>
  </w:num>
  <w:num w:numId="25" w16cid:durableId="1431507072">
    <w:abstractNumId w:val="39"/>
  </w:num>
  <w:num w:numId="26" w16cid:durableId="1313633758">
    <w:abstractNumId w:val="34"/>
  </w:num>
  <w:num w:numId="27" w16cid:durableId="726685831">
    <w:abstractNumId w:val="25"/>
  </w:num>
  <w:num w:numId="28" w16cid:durableId="1441293161">
    <w:abstractNumId w:val="35"/>
  </w:num>
  <w:num w:numId="29" w16cid:durableId="98915888">
    <w:abstractNumId w:val="19"/>
  </w:num>
  <w:num w:numId="30" w16cid:durableId="1468277287">
    <w:abstractNumId w:val="5"/>
  </w:num>
  <w:num w:numId="31" w16cid:durableId="684946392">
    <w:abstractNumId w:val="32"/>
  </w:num>
  <w:num w:numId="32" w16cid:durableId="1364749697">
    <w:abstractNumId w:val="26"/>
  </w:num>
  <w:num w:numId="33" w16cid:durableId="265385055">
    <w:abstractNumId w:val="23"/>
  </w:num>
  <w:num w:numId="34" w16cid:durableId="1326663041">
    <w:abstractNumId w:val="7"/>
    <w:lvlOverride w:ilvl="0">
      <w:startOverride w:val="1"/>
    </w:lvlOverride>
  </w:num>
  <w:num w:numId="35" w16cid:durableId="844513900">
    <w:abstractNumId w:val="10"/>
  </w:num>
  <w:num w:numId="36" w16cid:durableId="2096857017">
    <w:abstractNumId w:val="31"/>
  </w:num>
  <w:num w:numId="37" w16cid:durableId="118645741">
    <w:abstractNumId w:val="33"/>
  </w:num>
  <w:num w:numId="38" w16cid:durableId="1512723669">
    <w:abstractNumId w:val="38"/>
  </w:num>
  <w:num w:numId="39" w16cid:durableId="61107146">
    <w:abstractNumId w:val="27"/>
  </w:num>
  <w:num w:numId="40" w16cid:durableId="1820883670">
    <w:abstractNumId w:val="14"/>
  </w:num>
  <w:num w:numId="41" w16cid:durableId="624041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B"/>
    <w:rsid w:val="00000B7A"/>
    <w:rsid w:val="00012447"/>
    <w:rsid w:val="000134E9"/>
    <w:rsid w:val="0001480A"/>
    <w:rsid w:val="000217FA"/>
    <w:rsid w:val="000236B8"/>
    <w:rsid w:val="00033487"/>
    <w:rsid w:val="000337C7"/>
    <w:rsid w:val="000368A6"/>
    <w:rsid w:val="00037597"/>
    <w:rsid w:val="00040801"/>
    <w:rsid w:val="00040C12"/>
    <w:rsid w:val="000414F6"/>
    <w:rsid w:val="00041832"/>
    <w:rsid w:val="00041B00"/>
    <w:rsid w:val="00044380"/>
    <w:rsid w:val="000515F8"/>
    <w:rsid w:val="000524C1"/>
    <w:rsid w:val="00062563"/>
    <w:rsid w:val="00074BE5"/>
    <w:rsid w:val="000751B5"/>
    <w:rsid w:val="000778CF"/>
    <w:rsid w:val="00087F18"/>
    <w:rsid w:val="000918D6"/>
    <w:rsid w:val="0009228B"/>
    <w:rsid w:val="000961A9"/>
    <w:rsid w:val="000E3882"/>
    <w:rsid w:val="000E60D8"/>
    <w:rsid w:val="000E74C6"/>
    <w:rsid w:val="000E761A"/>
    <w:rsid w:val="000F11C1"/>
    <w:rsid w:val="000F41BC"/>
    <w:rsid w:val="00100AB9"/>
    <w:rsid w:val="00105B0A"/>
    <w:rsid w:val="00106588"/>
    <w:rsid w:val="00106895"/>
    <w:rsid w:val="0012248D"/>
    <w:rsid w:val="00122A22"/>
    <w:rsid w:val="001236B6"/>
    <w:rsid w:val="001428D7"/>
    <w:rsid w:val="0014346C"/>
    <w:rsid w:val="00145D21"/>
    <w:rsid w:val="001534D0"/>
    <w:rsid w:val="001558E9"/>
    <w:rsid w:val="001772BF"/>
    <w:rsid w:val="00181DD6"/>
    <w:rsid w:val="0018410D"/>
    <w:rsid w:val="001877BB"/>
    <w:rsid w:val="00187937"/>
    <w:rsid w:val="001A1741"/>
    <w:rsid w:val="001A1C14"/>
    <w:rsid w:val="001A40EE"/>
    <w:rsid w:val="001C1481"/>
    <w:rsid w:val="001C27DB"/>
    <w:rsid w:val="001C4FFD"/>
    <w:rsid w:val="001C68CC"/>
    <w:rsid w:val="001C6A2C"/>
    <w:rsid w:val="001D4F80"/>
    <w:rsid w:val="001E2365"/>
    <w:rsid w:val="001E74A6"/>
    <w:rsid w:val="001F06B1"/>
    <w:rsid w:val="001F3376"/>
    <w:rsid w:val="001F586C"/>
    <w:rsid w:val="00207869"/>
    <w:rsid w:val="00211828"/>
    <w:rsid w:val="00223E2C"/>
    <w:rsid w:val="00225B50"/>
    <w:rsid w:val="00226515"/>
    <w:rsid w:val="00226E01"/>
    <w:rsid w:val="00227A4E"/>
    <w:rsid w:val="00234CBC"/>
    <w:rsid w:val="00235B4A"/>
    <w:rsid w:val="002426CF"/>
    <w:rsid w:val="00243B34"/>
    <w:rsid w:val="00256639"/>
    <w:rsid w:val="002622EB"/>
    <w:rsid w:val="00271875"/>
    <w:rsid w:val="00271D8D"/>
    <w:rsid w:val="00271DA7"/>
    <w:rsid w:val="00275B2F"/>
    <w:rsid w:val="00276B65"/>
    <w:rsid w:val="00277606"/>
    <w:rsid w:val="00296A16"/>
    <w:rsid w:val="002A0B57"/>
    <w:rsid w:val="002C2AD6"/>
    <w:rsid w:val="002D4EBB"/>
    <w:rsid w:val="002E0C7D"/>
    <w:rsid w:val="002E15E1"/>
    <w:rsid w:val="002E290D"/>
    <w:rsid w:val="002F74F1"/>
    <w:rsid w:val="002F7EAB"/>
    <w:rsid w:val="00303191"/>
    <w:rsid w:val="003115D2"/>
    <w:rsid w:val="003231B6"/>
    <w:rsid w:val="003246BA"/>
    <w:rsid w:val="003267C8"/>
    <w:rsid w:val="00327BCC"/>
    <w:rsid w:val="00331281"/>
    <w:rsid w:val="00341787"/>
    <w:rsid w:val="00341EFB"/>
    <w:rsid w:val="003465D5"/>
    <w:rsid w:val="003615DC"/>
    <w:rsid w:val="00363515"/>
    <w:rsid w:val="00377E3D"/>
    <w:rsid w:val="00381544"/>
    <w:rsid w:val="003943CE"/>
    <w:rsid w:val="003A5B83"/>
    <w:rsid w:val="003A6B6A"/>
    <w:rsid w:val="003C402B"/>
    <w:rsid w:val="003C4DFC"/>
    <w:rsid w:val="003E1685"/>
    <w:rsid w:val="003E259D"/>
    <w:rsid w:val="003E6334"/>
    <w:rsid w:val="00407B3D"/>
    <w:rsid w:val="00410A25"/>
    <w:rsid w:val="00416316"/>
    <w:rsid w:val="0042017D"/>
    <w:rsid w:val="00421F1B"/>
    <w:rsid w:val="00426BBF"/>
    <w:rsid w:val="00431D02"/>
    <w:rsid w:val="0043410E"/>
    <w:rsid w:val="00434609"/>
    <w:rsid w:val="0044311A"/>
    <w:rsid w:val="00444A13"/>
    <w:rsid w:val="00450093"/>
    <w:rsid w:val="00451A04"/>
    <w:rsid w:val="00457BA8"/>
    <w:rsid w:val="0046356D"/>
    <w:rsid w:val="00464E8D"/>
    <w:rsid w:val="00466066"/>
    <w:rsid w:val="0046656F"/>
    <w:rsid w:val="00471AD0"/>
    <w:rsid w:val="00487985"/>
    <w:rsid w:val="004A31A6"/>
    <w:rsid w:val="004A7215"/>
    <w:rsid w:val="004B3C7F"/>
    <w:rsid w:val="004C2BCA"/>
    <w:rsid w:val="004D5FE1"/>
    <w:rsid w:val="004E26BF"/>
    <w:rsid w:val="004E31DC"/>
    <w:rsid w:val="004E71B5"/>
    <w:rsid w:val="004F2D35"/>
    <w:rsid w:val="004F390D"/>
    <w:rsid w:val="00504A27"/>
    <w:rsid w:val="00504AFD"/>
    <w:rsid w:val="00507039"/>
    <w:rsid w:val="00511B6F"/>
    <w:rsid w:val="00512DE5"/>
    <w:rsid w:val="00514E19"/>
    <w:rsid w:val="005312A5"/>
    <w:rsid w:val="00533012"/>
    <w:rsid w:val="0053363D"/>
    <w:rsid w:val="00542FDD"/>
    <w:rsid w:val="005527E9"/>
    <w:rsid w:val="00560C36"/>
    <w:rsid w:val="00575E0E"/>
    <w:rsid w:val="0058228E"/>
    <w:rsid w:val="00585A68"/>
    <w:rsid w:val="005911EE"/>
    <w:rsid w:val="0059372A"/>
    <w:rsid w:val="0059479B"/>
    <w:rsid w:val="00596CFA"/>
    <w:rsid w:val="005A4AA8"/>
    <w:rsid w:val="005A6E1F"/>
    <w:rsid w:val="005A749D"/>
    <w:rsid w:val="005B13D7"/>
    <w:rsid w:val="005B2A4B"/>
    <w:rsid w:val="005B33D7"/>
    <w:rsid w:val="005B59E3"/>
    <w:rsid w:val="005C4203"/>
    <w:rsid w:val="005C587F"/>
    <w:rsid w:val="005D02DE"/>
    <w:rsid w:val="005E1605"/>
    <w:rsid w:val="005F085F"/>
    <w:rsid w:val="005F35A0"/>
    <w:rsid w:val="005F7CB2"/>
    <w:rsid w:val="006039B0"/>
    <w:rsid w:val="006113D0"/>
    <w:rsid w:val="00612277"/>
    <w:rsid w:val="00613EA5"/>
    <w:rsid w:val="00617673"/>
    <w:rsid w:val="00621B50"/>
    <w:rsid w:val="00622725"/>
    <w:rsid w:val="00624FCE"/>
    <w:rsid w:val="00630DCF"/>
    <w:rsid w:val="00641397"/>
    <w:rsid w:val="00651D83"/>
    <w:rsid w:val="00652D92"/>
    <w:rsid w:val="006620BF"/>
    <w:rsid w:val="0066521D"/>
    <w:rsid w:val="00675246"/>
    <w:rsid w:val="00677058"/>
    <w:rsid w:val="00680CD3"/>
    <w:rsid w:val="00686AA3"/>
    <w:rsid w:val="00695FBA"/>
    <w:rsid w:val="006975CF"/>
    <w:rsid w:val="006A255B"/>
    <w:rsid w:val="006B40CD"/>
    <w:rsid w:val="006C3D09"/>
    <w:rsid w:val="006D267E"/>
    <w:rsid w:val="006D6EBB"/>
    <w:rsid w:val="006D799A"/>
    <w:rsid w:val="006E3B88"/>
    <w:rsid w:val="006F55C4"/>
    <w:rsid w:val="00702A7A"/>
    <w:rsid w:val="00703A0E"/>
    <w:rsid w:val="0070719A"/>
    <w:rsid w:val="007270EE"/>
    <w:rsid w:val="007279CA"/>
    <w:rsid w:val="00737EB8"/>
    <w:rsid w:val="007460BC"/>
    <w:rsid w:val="00751F5D"/>
    <w:rsid w:val="00755101"/>
    <w:rsid w:val="0077069F"/>
    <w:rsid w:val="00770ACA"/>
    <w:rsid w:val="00783860"/>
    <w:rsid w:val="007916DE"/>
    <w:rsid w:val="00797752"/>
    <w:rsid w:val="007A6C9D"/>
    <w:rsid w:val="007B2284"/>
    <w:rsid w:val="007B4983"/>
    <w:rsid w:val="007B6194"/>
    <w:rsid w:val="007B7D91"/>
    <w:rsid w:val="007C699E"/>
    <w:rsid w:val="007D27CD"/>
    <w:rsid w:val="007D37D2"/>
    <w:rsid w:val="007D43E5"/>
    <w:rsid w:val="007F777F"/>
    <w:rsid w:val="0080084F"/>
    <w:rsid w:val="00802C19"/>
    <w:rsid w:val="008035CD"/>
    <w:rsid w:val="008047AE"/>
    <w:rsid w:val="00807014"/>
    <w:rsid w:val="008155AF"/>
    <w:rsid w:val="0082047B"/>
    <w:rsid w:val="0082342C"/>
    <w:rsid w:val="0083497A"/>
    <w:rsid w:val="008426D0"/>
    <w:rsid w:val="00844ADC"/>
    <w:rsid w:val="0085104B"/>
    <w:rsid w:val="00851480"/>
    <w:rsid w:val="00863A2E"/>
    <w:rsid w:val="0086522B"/>
    <w:rsid w:val="00872F06"/>
    <w:rsid w:val="00877E71"/>
    <w:rsid w:val="0088117D"/>
    <w:rsid w:val="008816F6"/>
    <w:rsid w:val="008850BA"/>
    <w:rsid w:val="008949CC"/>
    <w:rsid w:val="008A0EF3"/>
    <w:rsid w:val="008A20CA"/>
    <w:rsid w:val="008A402D"/>
    <w:rsid w:val="008C436C"/>
    <w:rsid w:val="008C61AD"/>
    <w:rsid w:val="008E08F2"/>
    <w:rsid w:val="008E1BF8"/>
    <w:rsid w:val="008E2451"/>
    <w:rsid w:val="008E530E"/>
    <w:rsid w:val="008F6DEE"/>
    <w:rsid w:val="0090712A"/>
    <w:rsid w:val="0091333B"/>
    <w:rsid w:val="0091369F"/>
    <w:rsid w:val="009369BC"/>
    <w:rsid w:val="00936FC8"/>
    <w:rsid w:val="00937DD1"/>
    <w:rsid w:val="009413D2"/>
    <w:rsid w:val="009478E4"/>
    <w:rsid w:val="00947B24"/>
    <w:rsid w:val="00950D05"/>
    <w:rsid w:val="009537DE"/>
    <w:rsid w:val="0095439A"/>
    <w:rsid w:val="009568D5"/>
    <w:rsid w:val="009604FF"/>
    <w:rsid w:val="00963B6F"/>
    <w:rsid w:val="00971B1B"/>
    <w:rsid w:val="00973096"/>
    <w:rsid w:val="009808A4"/>
    <w:rsid w:val="00984099"/>
    <w:rsid w:val="009877BC"/>
    <w:rsid w:val="009A29C9"/>
    <w:rsid w:val="009B3381"/>
    <w:rsid w:val="009B6035"/>
    <w:rsid w:val="009C214F"/>
    <w:rsid w:val="009D7B2A"/>
    <w:rsid w:val="009E1F6E"/>
    <w:rsid w:val="009E6BDF"/>
    <w:rsid w:val="009F529B"/>
    <w:rsid w:val="00A116EB"/>
    <w:rsid w:val="00A13227"/>
    <w:rsid w:val="00A236F6"/>
    <w:rsid w:val="00A262CA"/>
    <w:rsid w:val="00A26BDF"/>
    <w:rsid w:val="00A341B4"/>
    <w:rsid w:val="00A40701"/>
    <w:rsid w:val="00A40BF8"/>
    <w:rsid w:val="00A50F65"/>
    <w:rsid w:val="00A540CA"/>
    <w:rsid w:val="00A56F40"/>
    <w:rsid w:val="00A6762E"/>
    <w:rsid w:val="00A7337A"/>
    <w:rsid w:val="00A74522"/>
    <w:rsid w:val="00A75E53"/>
    <w:rsid w:val="00A76BBC"/>
    <w:rsid w:val="00A7782D"/>
    <w:rsid w:val="00A914AA"/>
    <w:rsid w:val="00AA2F5F"/>
    <w:rsid w:val="00AB2364"/>
    <w:rsid w:val="00AB6EE3"/>
    <w:rsid w:val="00AC0317"/>
    <w:rsid w:val="00AC5034"/>
    <w:rsid w:val="00AC79DB"/>
    <w:rsid w:val="00AD39E3"/>
    <w:rsid w:val="00AD74FF"/>
    <w:rsid w:val="00AE33B0"/>
    <w:rsid w:val="00AF75AE"/>
    <w:rsid w:val="00AF7B87"/>
    <w:rsid w:val="00B02A4C"/>
    <w:rsid w:val="00B124ED"/>
    <w:rsid w:val="00B270B3"/>
    <w:rsid w:val="00B31BC3"/>
    <w:rsid w:val="00B32229"/>
    <w:rsid w:val="00B443F2"/>
    <w:rsid w:val="00B67B46"/>
    <w:rsid w:val="00B7017F"/>
    <w:rsid w:val="00B80D0F"/>
    <w:rsid w:val="00B876D7"/>
    <w:rsid w:val="00B90D87"/>
    <w:rsid w:val="00B90FDF"/>
    <w:rsid w:val="00BA1C77"/>
    <w:rsid w:val="00BA34BF"/>
    <w:rsid w:val="00BB1615"/>
    <w:rsid w:val="00BB17F4"/>
    <w:rsid w:val="00BB4419"/>
    <w:rsid w:val="00BB7F64"/>
    <w:rsid w:val="00BE19DD"/>
    <w:rsid w:val="00BE4EBF"/>
    <w:rsid w:val="00BE5F64"/>
    <w:rsid w:val="00BF131A"/>
    <w:rsid w:val="00BF634B"/>
    <w:rsid w:val="00C0737D"/>
    <w:rsid w:val="00C10A34"/>
    <w:rsid w:val="00C12310"/>
    <w:rsid w:val="00C16A34"/>
    <w:rsid w:val="00C17738"/>
    <w:rsid w:val="00C30D23"/>
    <w:rsid w:val="00C311A1"/>
    <w:rsid w:val="00C323BA"/>
    <w:rsid w:val="00C443FA"/>
    <w:rsid w:val="00C46446"/>
    <w:rsid w:val="00C470E1"/>
    <w:rsid w:val="00C531DF"/>
    <w:rsid w:val="00C5481F"/>
    <w:rsid w:val="00C549B5"/>
    <w:rsid w:val="00C60866"/>
    <w:rsid w:val="00C66CBD"/>
    <w:rsid w:val="00C73817"/>
    <w:rsid w:val="00C80C14"/>
    <w:rsid w:val="00C91369"/>
    <w:rsid w:val="00C94A6B"/>
    <w:rsid w:val="00CA413C"/>
    <w:rsid w:val="00CA6E2F"/>
    <w:rsid w:val="00CA765D"/>
    <w:rsid w:val="00CB068A"/>
    <w:rsid w:val="00CB0EE3"/>
    <w:rsid w:val="00CB28AF"/>
    <w:rsid w:val="00CB7A5D"/>
    <w:rsid w:val="00CC2E78"/>
    <w:rsid w:val="00CC2EED"/>
    <w:rsid w:val="00CD2B79"/>
    <w:rsid w:val="00CD3D24"/>
    <w:rsid w:val="00CD4329"/>
    <w:rsid w:val="00D04456"/>
    <w:rsid w:val="00D04CEC"/>
    <w:rsid w:val="00D0721A"/>
    <w:rsid w:val="00D258C1"/>
    <w:rsid w:val="00D265DB"/>
    <w:rsid w:val="00D31A62"/>
    <w:rsid w:val="00D47817"/>
    <w:rsid w:val="00D53576"/>
    <w:rsid w:val="00D5731F"/>
    <w:rsid w:val="00D62DC8"/>
    <w:rsid w:val="00D81AC8"/>
    <w:rsid w:val="00D84539"/>
    <w:rsid w:val="00D86575"/>
    <w:rsid w:val="00D87011"/>
    <w:rsid w:val="00D87767"/>
    <w:rsid w:val="00D959F1"/>
    <w:rsid w:val="00DA6D87"/>
    <w:rsid w:val="00DB07EC"/>
    <w:rsid w:val="00DB67D7"/>
    <w:rsid w:val="00DB6811"/>
    <w:rsid w:val="00DC25F4"/>
    <w:rsid w:val="00DD0F2D"/>
    <w:rsid w:val="00DD2863"/>
    <w:rsid w:val="00DD7E7B"/>
    <w:rsid w:val="00DE2F33"/>
    <w:rsid w:val="00DF1989"/>
    <w:rsid w:val="00DF429E"/>
    <w:rsid w:val="00DF48CA"/>
    <w:rsid w:val="00DF61C1"/>
    <w:rsid w:val="00DF6789"/>
    <w:rsid w:val="00E01783"/>
    <w:rsid w:val="00E57A0B"/>
    <w:rsid w:val="00E57C87"/>
    <w:rsid w:val="00E61A3E"/>
    <w:rsid w:val="00E66D60"/>
    <w:rsid w:val="00E717FF"/>
    <w:rsid w:val="00E72322"/>
    <w:rsid w:val="00E742F6"/>
    <w:rsid w:val="00EA4DD3"/>
    <w:rsid w:val="00EA5DC4"/>
    <w:rsid w:val="00EB484F"/>
    <w:rsid w:val="00EB66AD"/>
    <w:rsid w:val="00EC13F1"/>
    <w:rsid w:val="00EC2C44"/>
    <w:rsid w:val="00EC6DB9"/>
    <w:rsid w:val="00EC7826"/>
    <w:rsid w:val="00ED46D3"/>
    <w:rsid w:val="00EE1CFF"/>
    <w:rsid w:val="00EF026E"/>
    <w:rsid w:val="00EF11D0"/>
    <w:rsid w:val="00EF7017"/>
    <w:rsid w:val="00F24287"/>
    <w:rsid w:val="00F323B6"/>
    <w:rsid w:val="00F368EA"/>
    <w:rsid w:val="00F45E5A"/>
    <w:rsid w:val="00F47999"/>
    <w:rsid w:val="00F5168C"/>
    <w:rsid w:val="00F52A10"/>
    <w:rsid w:val="00F548C6"/>
    <w:rsid w:val="00F63D57"/>
    <w:rsid w:val="00F737A4"/>
    <w:rsid w:val="00F81DB7"/>
    <w:rsid w:val="00F827C7"/>
    <w:rsid w:val="00F979D6"/>
    <w:rsid w:val="00FA6108"/>
    <w:rsid w:val="00FB00C9"/>
    <w:rsid w:val="00FB2FD8"/>
    <w:rsid w:val="00FC741D"/>
    <w:rsid w:val="00FD2096"/>
    <w:rsid w:val="00FD442F"/>
    <w:rsid w:val="00FD4CE4"/>
    <w:rsid w:val="00FD5F94"/>
    <w:rsid w:val="00FE393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B1E1F"/>
  <w15:docId w15:val="{207E29CE-C836-465D-9859-6C6338D7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B8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tabs>
        <w:tab w:val="num" w:pos="360"/>
      </w:tabs>
      <w:ind w:left="340" w:hanging="340"/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character" w:styleId="PageNumber">
    <w:name w:val="page number"/>
    <w:basedOn w:val="DefaultParagraphFont"/>
    <w:rsid w:val="00C16A34"/>
  </w:style>
  <w:style w:type="paragraph" w:styleId="ListParagraph">
    <w:name w:val="List Paragraph"/>
    <w:basedOn w:val="Normal"/>
    <w:uiPriority w:val="34"/>
    <w:qFormat/>
    <w:rsid w:val="00DB6811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61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2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22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277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F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1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F667F88FAC845A762BD0B49FA8164" ma:contentTypeVersion="0" ma:contentTypeDescription="Stvaranje novog dokumenta." ma:contentTypeScope="" ma:versionID="ac9e1f42e2db8c895932a0cb4eef1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C6353C-4DEB-4397-9D36-BC252C9CF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2B6BE-26DF-40BB-ACFE-DE1F378C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53F77-724F-43CF-97AC-71F89887D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8D2FD-E9FF-40A2-B110-D8C04F62245B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2509</Words>
  <Characters>16204</Characters>
  <Application>Microsoft Office Word</Application>
  <DocSecurity>4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Gobin</cp:lastModifiedBy>
  <cp:revision>2</cp:revision>
  <cp:lastPrinted>2023-07-12T08:10:00Z</cp:lastPrinted>
  <dcterms:created xsi:type="dcterms:W3CDTF">2023-09-21T13:59:00Z</dcterms:created>
  <dcterms:modified xsi:type="dcterms:W3CDTF">2023-09-21T13:59:00Z</dcterms:modified>
</cp:coreProperties>
</file>